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nktx-20251231.htm"/>
      <w:bookmarkStart w:id="1" w:name="ksnktx20251231"/>
      <w:bookmarkEnd w:id="0"/>
      <w:bookmarkEnd w:id="1"/>
      <w:r>
        <w:rPr/>
        <w:t> </w:t>
      </w:r>
    </w:p>
    <w:p>
      <w:pPr>
        <w:pStyle w:val="TextBody"/>
        <w:pBdr>
          <w:top w:val="double" w:sz="4"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sz w:val="20"/>
        </w:rPr>
      </w:pPr>
      <w:r>
        <w:rPr>
          <w:rFonts w:ascii="Times New Roman" w:hAnsi="Times New Roman"/>
          <w:b/>
          <w:color w:val="000000"/>
          <w:sz w:val="18"/>
        </w:rPr>
        <w:t>Washington, D.C. 20549</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8"/>
        </w:rPr>
        <w:t>FORM 10-K</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2"/>
        </w:rPr>
      </w:pPr>
      <w:r>
        <w:rPr>
          <w:rFonts w:ascii="Times New Roman" w:hAnsi="Times New Roman"/>
          <w:b/>
          <w:color w:val="000000"/>
          <w:sz w:val="12"/>
        </w:rPr>
        <w:t>(Mark One)</w:t>
      </w:r>
    </w:p>
    <w:p>
      <w:pPr>
        <w:pStyle w:val="TextBody"/>
        <w:bidi w:val="0"/>
        <w:jc w:val="left"/>
        <w:rPr/>
      </w:pPr>
      <w:r>
        <w:rPr/>
        <w:t> </w:t>
      </w:r>
    </w:p>
    <w:tbl>
      <w:tblPr>
        <w:tblW w:w="8717" w:type="dxa"/>
        <w:jc w:val="left"/>
        <w:tblInd w:w="0" w:type="dxa"/>
        <w:tblLayout w:type="fixed"/>
        <w:tblCellMar>
          <w:top w:w="28" w:type="dxa"/>
          <w:left w:w="28" w:type="dxa"/>
          <w:bottom w:w="28" w:type="dxa"/>
          <w:right w:w="28" w:type="dxa"/>
        </w:tblCellMar>
      </w:tblPr>
      <w:tblGrid>
        <w:gridCol w:w="331"/>
        <w:gridCol w:w="8386"/>
      </w:tblGrid>
      <w:tr>
        <w:trPr/>
        <w:tc>
          <w:tcPr>
            <w:tcW w:w="331" w:type="dxa"/>
            <w:tcBorders/>
            <w:vAlign w:val="center"/>
          </w:tcPr>
          <w:p>
            <w:pPr>
              <w:pStyle w:val="TableContents"/>
              <w:bidi w:val="0"/>
              <w:spacing w:before="0" w:after="283"/>
              <w:jc w:val="left"/>
              <w:rPr>
                <w:sz w:val="4"/>
                <w:szCs w:val="4"/>
              </w:rPr>
            </w:pPr>
            <w:r>
              <w:rPr>
                <w:sz w:val="4"/>
                <w:szCs w:val="4"/>
              </w:rPr>
            </w:r>
          </w:p>
        </w:tc>
        <w:tc>
          <w:tcPr>
            <w:tcW w:w="83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8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7"/>
              </w:rPr>
            </w:pPr>
            <w:r>
              <w:rPr>
                <w:rFonts w:ascii="Times New Roman" w:hAnsi="Times New Roman"/>
                <w:b/>
                <w:color w:val="000000"/>
                <w:sz w:val="17"/>
              </w:rPr>
              <w:t>ANNUAL REPORT PURSUANT TO SECTION 13 OR 15(d) OF THE SECURITIES EXCHANGE ACT OF 1934</w:t>
            </w:r>
            <w:r>
              <w:rPr>
                <w:rFonts w:ascii="Times New Roman" w:hAnsi="Times New Roman"/>
                <w:color w:val="000000"/>
                <w:sz w:val="17"/>
              </w:rPr>
              <w:t xml:space="preserve"> </w:t>
            </w:r>
          </w:p>
        </w:tc>
      </w:tr>
    </w:tbl>
    <w:p>
      <w:pPr>
        <w:pStyle w:val="TextBody"/>
        <w:bidi w:val="0"/>
        <w:spacing w:before="60" w:after="283"/>
        <w:jc w:val="center"/>
        <w:rPr>
          <w:rFonts w:ascii="Times New Roman" w:hAnsi="Times New Roman"/>
          <w:b/>
          <w:color w:val="000000"/>
          <w:sz w:val="17"/>
        </w:rPr>
      </w:pPr>
      <w:r>
        <w:rPr>
          <w:rFonts w:ascii="Times New Roman" w:hAnsi="Times New Roman"/>
          <w:b/>
          <w:color w:val="000000"/>
          <w:sz w:val="17"/>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17"/>
        </w:rPr>
        <w:t>OR</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7"/>
              </w:rPr>
            </w:pPr>
            <w:r>
              <w:rPr>
                <w:rFonts w:ascii="Times New Roman" w:hAnsi="Times New Roman"/>
                <w:b/>
                <w:color w:val="000000"/>
                <w:sz w:val="17"/>
              </w:rPr>
              <w:t>TRANSITION REPORT PURSUANT TO SECTION 13 OR 15(d) OF THE SECURITIES EXCHANGE ACT OF 1934 FOR THE TRANSITION PERIOD FROM TO</w:t>
            </w:r>
            <w:r>
              <w:rPr>
                <w:rFonts w:ascii="Times New Roman" w:hAnsi="Times New Roman"/>
                <w:color w:val="000000"/>
                <w:sz w:val="17"/>
              </w:rPr>
              <w:t xml:space="preserve"> </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Commission File Number 001-39370</w:t>
      </w:r>
    </w:p>
    <w:p>
      <w:pPr>
        <w:pStyle w:val="TextBody"/>
        <w:pBdr>
          <w:bottom w:val="single" w:sz="8"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Nkarta, Inc.</w:t>
      </w:r>
    </w:p>
    <w:p>
      <w:pPr>
        <w:pStyle w:val="TextBody"/>
        <w:bidi w:val="0"/>
        <w:jc w:val="center"/>
        <w:rPr>
          <w:rFonts w:ascii="Times New Roman" w:hAnsi="Times New Roman"/>
          <w:sz w:val="20"/>
        </w:rPr>
      </w:pPr>
      <w:r>
        <w:rPr>
          <w:rFonts w:ascii="Times New Roman" w:hAnsi="Times New Roman"/>
          <w:b/>
          <w:color w:val="000000"/>
          <w:sz w:val="15"/>
        </w:rPr>
        <w:t>(Exact name of registrant as specified in its charter)</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47-4515206</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3"/>
              </w:rPr>
            </w:pPr>
            <w:r>
              <w:rPr>
                <w:rFonts w:ascii="Times New Roman" w:hAnsi="Times New Roman"/>
                <w:b/>
                <w:color w:val="000000"/>
                <w:sz w:val="13"/>
              </w:rPr>
              <w:t>(State or other jurisdiction of</w:t>
            </w:r>
          </w:p>
          <w:p>
            <w:pPr>
              <w:pStyle w:val="TableContents"/>
              <w:bidi w:val="0"/>
              <w:spacing w:before="0" w:after="15"/>
              <w:jc w:val="center"/>
              <w:rPr>
                <w:rFonts w:ascii="Times New Roman" w:hAnsi="Times New Roman"/>
                <w:b/>
                <w:color w:val="000000"/>
                <w:sz w:val="13"/>
              </w:rPr>
            </w:pPr>
            <w:r>
              <w:rPr>
                <w:rFonts w:ascii="Times New Roman" w:hAnsi="Times New Roman"/>
                <w:b/>
                <w:color w:val="000000"/>
                <w:sz w:val="13"/>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3"/>
              </w:rPr>
            </w:pPr>
            <w:r>
              <w:rPr>
                <w:rFonts w:ascii="Times New Roman" w:hAnsi="Times New Roman"/>
                <w:b/>
                <w:color w:val="000000"/>
                <w:sz w:val="13"/>
              </w:rPr>
              <w:t>(I.R.S. Employer</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1150 Veterans Boulevard</w:t>
            </w:r>
          </w:p>
          <w:p>
            <w:pPr>
              <w:pStyle w:val="TableContents"/>
              <w:bidi w:val="0"/>
              <w:spacing w:before="0" w:after="15"/>
              <w:jc w:val="center"/>
              <w:rPr>
                <w:rFonts w:ascii="Times New Roman" w:hAnsi="Times New Roman"/>
                <w:sz w:val="20"/>
              </w:rPr>
            </w:pPr>
            <w:r>
              <w:rPr>
                <w:rFonts w:ascii="Times New Roman" w:hAnsi="Times New Roman"/>
                <w:b/>
                <w:color w:val="000000"/>
                <w:sz w:val="15"/>
              </w:rPr>
              <w:t>South San Francisco, CA</w:t>
            </w:r>
            <w:r>
              <w:rPr>
                <w:rFonts w:ascii="Times New Roman" w:hAnsi="Times New Roman"/>
                <w:color w:val="000000"/>
                <w:sz w:val="20"/>
              </w:rPr>
              <w:t xml:space="preserve">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94080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(Zip Code)</w:t>
            </w:r>
          </w:p>
        </w:tc>
      </w:tr>
    </w:tbl>
    <w:p>
      <w:pPr>
        <w:pStyle w:val="TextBody"/>
        <w:bidi w:val="0"/>
        <w:spacing w:before="60" w:after="283"/>
        <w:jc w:val="center"/>
        <w:rPr>
          <w:rFonts w:ascii="Times New Roman" w:hAnsi="Times New Roman"/>
          <w:sz w:val="20"/>
        </w:rPr>
      </w:pPr>
      <w:r>
        <w:rPr>
          <w:rFonts w:ascii="Times New Roman" w:hAnsi="Times New Roman"/>
          <w:b/>
          <w:color w:val="000000"/>
          <w:sz w:val="17"/>
        </w:rPr>
        <w:t>(925) 407-1049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3"/>
        </w:rPr>
        <w:t>(Registrant’s telephone number, including area code)</w:t>
      </w:r>
      <w:r>
        <w:rPr>
          <w:rFonts w:ascii="Times New Roman" w:hAnsi="Times New Roman"/>
          <w:color w:val="000000"/>
          <w:sz w:val="20"/>
        </w:rPr>
        <w:t xml:space="preserve"> </w:t>
      </w:r>
    </w:p>
    <w:p>
      <w:pPr>
        <w:pStyle w:val="TextBody"/>
        <w:pBdr>
          <w:bottom w:val="single" w:sz="8" w:space="1" w:color="000000"/>
        </w:pBdr>
        <w:bidi w:val="0"/>
        <w:jc w:val="center"/>
        <w:rPr/>
      </w:pPr>
      <w:r>
        <w:rPr/>
        <w:t> </w:t>
      </w:r>
    </w:p>
    <w:p>
      <w:pPr>
        <w:pStyle w:val="TextBody"/>
        <w:bidi w:val="0"/>
        <w:jc w:val="left"/>
        <w:rPr>
          <w:rFonts w:ascii="Times New Roman" w:hAnsi="Times New Roman"/>
          <w:sz w:val="20"/>
        </w:rPr>
      </w:pPr>
      <w:r>
        <w:rPr>
          <w:rFonts w:ascii="Times New Roman" w:hAnsi="Times New Roman"/>
          <w:color w:val="000000"/>
          <w:sz w:val="15"/>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6520" w:type="dxa"/>
        <w:jc w:val="left"/>
        <w:tblInd w:w="0" w:type="dxa"/>
        <w:tblLayout w:type="fixed"/>
        <w:tblCellMar>
          <w:top w:w="28" w:type="dxa"/>
          <w:left w:w="28" w:type="dxa"/>
          <w:bottom w:w="28" w:type="dxa"/>
          <w:right w:w="28" w:type="dxa"/>
        </w:tblCellMar>
      </w:tblPr>
      <w:tblGrid>
        <w:gridCol w:w="2821"/>
        <w:gridCol w:w="146"/>
        <w:gridCol w:w="706"/>
        <w:gridCol w:w="146"/>
        <w:gridCol w:w="2701"/>
      </w:tblGrid>
      <w:tr>
        <w:trPr/>
        <w:tc>
          <w:tcPr>
            <w:tcW w:w="2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28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3"/>
              </w:rPr>
            </w:pPr>
            <w:r>
              <w:rPr>
                <w:rFonts w:ascii="Times New Roman" w:hAnsi="Times New Roman"/>
                <w:b/>
                <w:color w:val="000000"/>
                <w:sz w:val="13"/>
              </w:rPr>
              <w:t>Trading</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7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Name of each exchange on which registered</w:t>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NKTX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212529"/>
                <w:sz w:val="15"/>
              </w:rPr>
            </w:pPr>
            <w:r>
              <w:rPr>
                <w:rFonts w:ascii="Times New Roman" w:hAnsi="Times New Roman"/>
                <w:color w:val="212529"/>
                <w:sz w:val="15"/>
              </w:rPr>
              <w:t>Nasdaq Global Select Market</w:t>
            </w:r>
          </w:p>
        </w:tc>
      </w:tr>
    </w:tbl>
    <w:p>
      <w:pPr>
        <w:pStyle w:val="TextBody"/>
        <w:bidi w:val="0"/>
        <w:spacing w:before="60" w:after="283"/>
        <w:jc w:val="left"/>
        <w:rPr>
          <w:rFonts w:ascii="Times New Roman" w:hAnsi="Times New Roman"/>
          <w:sz w:val="20"/>
        </w:rPr>
      </w:pPr>
      <w:r>
        <w:rPr>
          <w:rFonts w:ascii="Times New Roman" w:hAnsi="Times New Roman"/>
          <w:color w:val="000000"/>
          <w:sz w:val="14"/>
        </w:rPr>
        <w:t xml:space="preserve">Securities registered pursuant to Section 12(g) of the Act: </w:t>
      </w:r>
      <w:r>
        <w:rPr>
          <w:rFonts w:ascii="Times New Roman" w:hAnsi="Times New Roman"/>
          <w:b/>
          <w:color w:val="000000"/>
          <w:sz w:val="14"/>
        </w:rPr>
        <w:t>None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if the registrant is a well-known seasoned issuer, as defined in Rule 405 of the Securities Act.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if the registrant is not required to file reports pursuant to Section 13 or 15(d) of the Act.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447" w:type="dxa"/>
        <w:jc w:val="left"/>
        <w:tblInd w:w="0" w:type="dxa"/>
        <w:tblLayout w:type="fixed"/>
        <w:tblCellMar>
          <w:top w:w="28" w:type="dxa"/>
          <w:left w:w="28" w:type="dxa"/>
          <w:bottom w:w="28" w:type="dxa"/>
          <w:right w:w="28" w:type="dxa"/>
        </w:tblCellMar>
      </w:tblPr>
      <w:tblGrid>
        <w:gridCol w:w="1666"/>
        <w:gridCol w:w="146"/>
        <w:gridCol w:w="316"/>
        <w:gridCol w:w="146"/>
        <w:gridCol w:w="166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81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4"/>
        </w:rPr>
        <w:t xml:space="preserve">Indicate by check mark whether the registrant has filed a report on and attestation to its management’s assessment of the effectiveness of its internal control over financial reporting under Section 404(b) of the Sarbanes-Oxley Act by the registered public accounting firm that prepared or issued its audit report.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4"/>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color w:val="231F20"/>
          <w:sz w:val="20"/>
        </w:rPr>
        <w:t xml:space="preserve">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Times New Roman" w:hAnsi="Times New Roman"/>
          <w:color w:val="231F20"/>
          <w:sz w:val="14"/>
        </w:rPr>
        <w:t xml:space="preserve">.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4"/>
        </w:rPr>
        <w:t xml:space="preserve">Indicate by check mark whether the registrant is a shell company (as defined in Rule 12b-2 of the Exchange Act). </w:t>
      </w:r>
      <w:r>
        <w:rPr>
          <w:rFonts w:ascii="Times New Roman" w:hAnsi="Times New Roman"/>
          <w:caps/>
          <w:color w:val="000000"/>
          <w:sz w:val="14"/>
        </w:rPr>
        <w:t>Yes</w:t>
      </w:r>
      <w:r>
        <w:rPr>
          <w:rFonts w:ascii="Times New Roman" w:hAnsi="Times New Roman"/>
          <w:color w:val="000000"/>
          <w:sz w:val="20"/>
        </w:rPr>
        <w:t xml:space="preserve"> ☐ </w:t>
      </w:r>
      <w:r>
        <w:rPr>
          <w:rFonts w:ascii="Times New Roman" w:hAnsi="Times New Roman"/>
          <w:caps/>
          <w:color w:val="000000"/>
          <w:sz w:val="14"/>
        </w:rPr>
        <w:t>No</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4"/>
        </w:rPr>
        <w:t>The aggregate market value of the voting and non-voting equity held by non-affiliates of the registrant, based on the closing price of a share of common stock on June 30, 2025</w:t>
      </w:r>
      <w:r>
        <w:rPr>
          <w:rFonts w:ascii="Times New Roman" w:hAnsi="Times New Roman"/>
          <w:color w:val="000000"/>
          <w:sz w:val="20"/>
        </w:rPr>
        <w:t xml:space="preserve"> </w:t>
      </w:r>
      <w:r>
        <w:rPr>
          <w:rFonts w:ascii="Times New Roman" w:hAnsi="Times New Roman"/>
          <w:color w:val="000000"/>
          <w:sz w:val="14"/>
        </w:rPr>
        <w:t>as reported by The Nasdaq Stock Market on such date was approximately $82.6</w:t>
      </w:r>
      <w:r>
        <w:rPr>
          <w:rFonts w:ascii="Times New Roman" w:hAnsi="Times New Roman"/>
          <w:color w:val="000000"/>
          <w:sz w:val="20"/>
        </w:rPr>
        <w:t xml:space="preserve"> </w:t>
      </w:r>
      <w:r>
        <w:rPr>
          <w:rFonts w:ascii="Times New Roman" w:hAnsi="Times New Roman"/>
          <w:color w:val="000000"/>
          <w:sz w:val="14"/>
        </w:rPr>
        <w:t>million. This calculation does not reflect a determination that certain persons are affiliates of the registrant for any other purpose.</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As of March 18, 2026, the number of outstanding shares of the registrant’s common stock, par value $0.0001 per share, was 71,290,490.</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DOCUMENTS INCORPORATED BY REFERENCE</w:t>
      </w:r>
    </w:p>
    <w:p>
      <w:pPr>
        <w:pStyle w:val="TextBody"/>
        <w:bidi w:val="0"/>
        <w:spacing w:before="60" w:after="283"/>
        <w:jc w:val="left"/>
        <w:rPr>
          <w:rFonts w:ascii="Times New Roman" w:hAnsi="Times New Roman"/>
          <w:color w:val="000000"/>
          <w:sz w:val="14"/>
        </w:rPr>
      </w:pPr>
      <w:r>
        <w:rPr>
          <w:rFonts w:ascii="Times New Roman" w:hAnsi="Times New Roman"/>
          <w:color w:val="000000"/>
          <w:sz w:val="14"/>
        </w:rPr>
        <w:t>Portions of the registrant’s Definitive Proxy Statement for the 2026 Annual Meeting of Stockholders to be filed with the U.S. Securities and Exchange Commission pursuant to Regulation 14A within 120 days after the end of the fiscal year covered by this Annual Report on Form 10-K are incorporated by reference in Part III, Items 10-14 of this Annual Report on Form 10-K.</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30"/>
        <w:gridCol w:w="8671"/>
        <w:gridCol w:w="604"/>
      </w:tblGrid>
      <w:tr>
        <w:trPr/>
        <w:tc>
          <w:tcPr>
            <w:tcW w:w="930"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1_item_1_business">
              <w:r>
                <w:rPr>
                  <w:rStyle w:val="InternetLink"/>
                  <w:rFonts w:ascii="Times New Roman" w:hAnsi="Times New Roman"/>
                  <w:color w:val="0000FF"/>
                  <w:sz w:val="20"/>
                  <w:u w:val="single"/>
                </w:rPr>
                <w:t>Business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Times New Roman" w:hAnsi="Times New Roman"/>
                  <w:color w:val="0000FF"/>
                  <w:sz w:val="20"/>
                  <w:u w:val="single"/>
                </w:rPr>
                <w:t>Risk Factors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20"/>
                  <w:u w:val="single"/>
                </w:rPr>
                <w:t>[Reserved]</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94</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95</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7A.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102</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8.</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103</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9A.</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128</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9B.</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129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9C.</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III</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10.</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11.</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12.</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13.</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14.</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Accountant Fees and Services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IV</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15.</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and Financial Statement Schedules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131</w:t>
            </w:r>
          </w:p>
        </w:tc>
      </w:tr>
      <w:tr>
        <w:trPr/>
        <w:tc>
          <w:tcPr>
            <w:tcW w:w="930"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16</w:t>
            </w:r>
          </w:p>
        </w:tc>
        <w:tc>
          <w:tcPr>
            <w:tcW w:w="867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r>
      <w:tr>
        <w:trPr/>
        <w:tc>
          <w:tcPr>
            <w:tcW w:w="96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Annual Report on Form 10-K, and the information incorporated herein by reference, particularly in the sections captioned “Business” under Part I, Item 1, “Risk Factors” under Part I, Item 1A, and “Management’s Discussion and Analysis of Financial Condition and Results of Operations” under Part II, Item 7, contains forward-looking statements within the meaning of Section 27A of the Securities Act of 1933, as amended (the "Securities Act"), and Section 21E of the Securities Exchange Act of 1934, as amended (the "Exchange Act").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Examples of these forward-looking statements include, but are not limited to, statements concerning our financial and business performance, including our future funding requirements, our position, plans, strategies, and timelines (including the availability of disclosure of clinical data from our clinical trials) for the continued and future clinical development and commercial potential of our product candidates and the therapeutic potential, accessibility, tolerability, advantages, and safety profile of NK cell therapies, including NKX019 for the treatment of autoimmune diseases.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Annual Report on Form 10-K.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 Item 1A of this Annual Report on Form 10-K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 (the "SEC"). As a result of these factors, we cannot assure you that the forward-looking statements in this Annual Report on Form 10-K will prove to be accurate.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we operate in an evolving environment. New risk factors and uncertainties may emerge from time to time, and it is not possible for management to predict all risk factors and uncertainties. All of our forward-looking statements in this report are made only as of the date of this Annual Report on Form 10-K. Except as required by applicable law, we do not plan to publicly update or revise any forward-looking statements contained herein, whether as a result of any new information, future events, changed circumstances or otherwise.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Annual Report on Form 10-K, completely and with the understanding that our actual future results may be materially different from what we expect. We qualify all of our forward-looking statements by these cautionary statements.</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“Cautionary Note Regarding Forward-Looking Statements” and Part I, Item 1A, “Risk Factors” in this Annual Report on Form 10-K. The below summary is qualified in its entirety by those more complete discussions of such risks and uncertainties. You should consider carefully the risks and uncertainties described under Part I, Item 1A, “Risk Factors” in this Annual Report on Form 10-K as part of your evaluation of an investment in our common stock.</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have a limited operating history and do not have any products approved for sale</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incurred significant losses since our inception and we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never generated revenue from product sales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depends upon the success of our CAR NK-cell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business is highly dependent on the clinical success of our product candidates, and on the clinical success of NKX019, in particular, and we may fail to develop NKX019 and/or our other product candidates successfully or be unable to obtain regulatory approval for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are reliant on a sole supplier for certain steps of our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The optimal donor and manufacturing parameters for our product candidates have not been definitively established, which may hinder our ability to optimize our product candidates or to address any safety or efficacy issues that may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our license agreement with National University of Singapore and St. Jude Children’s Research Hospital, Inc. is terminated, we could lose our rights to key components enabling our NK-cell engineering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patent protection we obtain is not sufficiently robust, our competitors could develop and commercialize products and technology similar or identical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product candidates, including NKX019, could be subject to regulatory limitations following approval, if and when such approval is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market price for our common stock may be volatile, which could contribute to the loss of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Computer system interruptions or security breaches of our information systems could significantly disrupt our product development programs and our ability to operate our business.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WEBSITE REFERENCES</w:t>
      </w:r>
    </w:p>
    <w:p>
      <w:pPr>
        <w:pStyle w:val="TextBody"/>
        <w:bidi w:val="0"/>
        <w:jc w:val="left"/>
        <w:rPr>
          <w:rFonts w:ascii="Times New Roman" w:hAnsi="Times New Roman"/>
          <w:color w:val="000000"/>
          <w:sz w:val="20"/>
        </w:rPr>
      </w:pPr>
      <w:r>
        <w:rPr>
          <w:rFonts w:ascii="Times New Roman" w:hAnsi="Times New Roman"/>
          <w:color w:val="000000"/>
          <w:sz w:val="20"/>
        </w:rPr>
        <w:t>In this Annual Report on Form 10-K, we make references to our website at www.nkartatx.com. References to our website through this Annual Report on Form 10-K are provided for convenience only and the content on our website does not constitute a part of, and shall not be deemed incorporated by reference into, this Annual Report on Form 10-K.</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1_item_1_business"/>
      <w:bookmarkEnd w:id="2"/>
      <w:r>
        <w:rPr>
          <w:rFonts w:ascii="Times New Roman" w:hAnsi="Times New Roman"/>
          <w:b/>
          <w:color w:val="000000"/>
          <w:sz w:val="20"/>
        </w:rPr>
        <w:t>PART I</w:t>
      </w:r>
    </w:p>
    <w:p>
      <w:pPr>
        <w:pStyle w:val="TextBody"/>
        <w:bidi w:val="0"/>
        <w:spacing w:before="240" w:after="283"/>
        <w:jc w:val="left"/>
        <w:rPr>
          <w:rFonts w:ascii="Times New Roman" w:hAnsi="Times New Roman"/>
          <w:sz w:val="20"/>
        </w:rPr>
      </w:pPr>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pioneering the development of allogeneic, off-the-shelf engineered natural killer ("NK") cell therapies. Our company was founded on the belief that engineered NK cell therapies can transform the lives of patients by offering therapies that are clinically meaningful, broadly accessible and unencumbered by the safety concerns often associated with other cell therapy approaches. Our lead pipeline program is NKX019, a chimeric antigen receptor-natural killer ("CAR NK") product candidate targeting the CD19 antigen for the treatment of patients with autoimmune diseases. Our CAR NK platform enables an on-demand, off-the-shelf approach involving scaled manufacturing to broaden patient access. We have developed proprietary technologies designed to generate an abundant supply of NK cells, increase NK cell recognition of target antigens, and enhance NK cell fitness to support scalable, off the shelf administration. NKX019 is allogeneic, which means it is produced using cells from a different person than the patient(s) being treated, and it is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other diseases, be well tolerated, and avoid some of the toxicities observed with other cell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NKX019 is currently being studied in an ongoing Phase 1 clinical trial ("Ntrust-1") for lupus nephritis ("LN") and primary membranous nephropathy ("pMN") and a Phase 1 clinical trial ("Ntrust-2") for systemic sclerosis ("scleroderma"), idiopathic inflammatory myopathy ("myositis"), and antineutrophil cytoplasmic antibody (ANCA)-associated vasculitis ("AAV"). NKX019 is also being studied in an investigator-sponsored trial ("IST") at Columbia University Irving Medical Center for systemic lupus erythematosus ("SLE") and an IST led by researchers at the University of California, Irvine and the University of Kansas Medical Center in myasthenia gravis ("MG"). NKX019 was initially studied in a Phase 1 clinical trial for certain B-cell malignancies, along with NKX101, a CAR NK product candidate targeting cells that display NKG2D ligands, which was studied in a Phase 1 clinical trial for certain hematologic malignancies. Both oncology studies closed patient enrollment in 2023 and have been deprioritized to direct primary resources to the development of our lead pipeline program, NKX019, for the treatment of autoimmune diseases.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modular engineering platform builds on the distinctive biology of NK cells and their role in eradicating aberrant and pathologically transformed cells. Our process starts with mature NK cells derived from healthy donors. We build on the intrinsic ability of these immune cells to identify and kill transformed cells with cell engineering to further enhance their activity. This engineering involves inducing the expression of a chimeric antigen receptor ("CAR") on the surface of an NK cell to enable the cell to recognize specific proteins or antigens that are present on the surface of target cells. Our engineered CAR NK cells consist of an NK cell engineered with a targeting receptor, OX40 costimulatory domain, CD3ζ(zeta) signaling moiety, and a membrane-bound form of the cytokine IL(interleukin)-15 ("mbIL-15"). </w:t>
      </w:r>
    </w:p>
    <w:p>
      <w:pPr>
        <w:pStyle w:val="TextBody"/>
        <w:bidi w:val="0"/>
        <w:spacing w:before="240" w:after="283"/>
        <w:jc w:val="left"/>
        <w:rPr>
          <w:rFonts w:ascii="Times New Roman" w:hAnsi="Times New Roman"/>
          <w:sz w:val="20"/>
        </w:rPr>
      </w:pPr>
      <w:r>
        <w:rPr>
          <w:rFonts w:ascii="Times New Roman" w:hAnsi="Times New Roman"/>
          <w:b/>
          <w:i/>
          <w:color w:val="000000"/>
          <w:sz w:val="20"/>
        </w:rPr>
        <w:t>NKX019</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NKX019 autoimmune program is based on the potential to eliminate the pathologic B cells that produce autoantibodies believed to underpin multiple autoimmune diseases via CD19 targeting. These autoantibodies, the immunologic hallmark of many autoimmune diseases, inappropriately recognize antigens expressed in healthy cells, causing various clinical syndromes from the resultant damage to normal tissues. Abnormal B cells are also the cause of multiple hematologic malignancies, including B-cell lymphoma. Approved CD19-directed cell therapies can eliminate these cancerous B cells, resulting in the possibility of durable complete responses in patients that are refractory to other therapies. Targeted depletion of cells from the B-cell lineage as a therapeutic mechanism is common to both autoimmune diseases and B-cell malignancies. This observation, in addition to recent reported studies of patients with autoimmune diseases who had considerable clinical benefit following treatment with CD19-directed cell therapies, support our belief that NKX019 has the potential to be a disease-modifying therapy for autoimmune diseases. Ntrust-1 is a multi-center, open-label, dose-escalation Phase 1 clinical trial of NKX019 for LN and pMN. Ntrust-2 is a multi-center, open-label, dose-escalation Phase 1 clinical trial of NKX019 for scleroderma, myositis, and AAV, which we believe maximizes the potential success of our clinical trials. In May 2025, we announced the modification of the lymphodepleting conditioning ("LD") prior to administration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NKX019 to use a combination of fludarabine ("Flu") and cyclophosphamide ("Cy"), with the option for patients with cytopenias to continue to receive Cy alone as modified LD, in both our Ntrust-1 clinical trial and our Ntrust-2 clinical trial. At that time, we also announced that researchers at the University of California, Irvine initiated an IST of NKX019 in patients with MG.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we announced that deep B-cell depletion was observed in all patients treated to date who received NKX019 with LD using Flu and Cy versus partial B-cell depletion in patients receiving only Cy. At the same time, we reported the implementation of a streamlined enrollment process that allows participant data from both the Ntrust-1 and Ntrust-2 clinical trials to be reviewed by a combined independent Data Safety Monitoring Board (“iDSMB”) to inform dose-escalation decisions. This update followed engagement with the U.S. Food and Drug Administration (“FDA”) and authorization by the iDSMB to initiate enrollment in the second dose-escalation cohort.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therapeutic benefit of targeting CD19-positive B cells in patients with SLE has been reported in a recent academic study published in </w:t>
      </w:r>
      <w:r>
        <w:rPr>
          <w:rFonts w:ascii="Times New Roman" w:hAnsi="Times New Roman"/>
          <w:i/>
          <w:color w:val="000000"/>
          <w:sz w:val="20"/>
        </w:rPr>
        <w:t xml:space="preserve">Nature Medicine </w:t>
      </w:r>
      <w:r>
        <w:rPr>
          <w:rFonts w:ascii="Times New Roman" w:hAnsi="Times New Roman"/>
          <w:color w:val="000000"/>
          <w:sz w:val="20"/>
        </w:rPr>
        <w:t xml:space="preserve">in September 2022 (Mackensen et al. (2022) Nat. Med. 28:2124-2132). Five patients with severe refractory SLE with LN received an autologous CD19 CAR T-cell therapy following LD with Flu and Cy. All patients showed significant clinical improvement in symptoms, including drug-free remissions after approximately three months. The CAR T cells expanded in all patients, with peak levels occurring around day 9, followed by a rapid decline. There was no high-grade cytokine release syndrome ("CRS"), no neurotoxicity, and no substantial elevation of serum IL-6 levels. Depletion of circulating B cells was rapid yet transient, with B cell numbers returning to normal within two to four months. This transience of depletion contrasts sharply with the CD19 CAR T-cell experience in B-cell malignancies, where B-cell suppression typically exceeds 18 months. Despite the limited persistence of CAR T cells and short-term B-cell suppression, all patients had seroconversion of anti-double-stranded DNA antibodies and ongoing disease control, even after B-cell recovery. A subsequent publication expanded this dataset to eight patients with SLE, all of whom had seroconversion and disease remission (Müller et al. (2024) N Engl J Med 390: 687-700). Median follow up in the group was 15 months with some patients having up to 29 months of remission.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we pursue our goal of developing innovative and broadly accessible cell therapies, manufacturing capabilities and technology are a significant focus of our efforts. We have been manufacturing clinical supply at one of our two good manufacturing practice ("cGMP") facilities located in South San Francisco, California, and intend to use our second facility in South San Francisco for additional clinical supply, supply of NKX019 or future product candidates for future pivotal clinical trials, and potential commercial supply of our product candidates. </w:t>
      </w:r>
    </w:p>
    <w:p>
      <w:pPr>
        <w:pStyle w:val="TextBody"/>
        <w:bidi w:val="0"/>
        <w:spacing w:before="360" w:after="283"/>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developing novel engineered, allogeneic, off-the-shelf cell therapies to improve the lives of people living with autoimmune diseases. Key elements of our strategy to achieve this include: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CAR NK platform enlists natural, healthy human donor NK cells for optimal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cell engineering platform utilizes healthy donors as our source for NK cells. By enlisting this natural source of NK cells, we start with bona fide NK cells endowed with inherent cytotoxic and tumor-recognizing capabilities. This contrasts with other more complex cell sources where these basic therapeutic features must be painstakingly designed and synthetically added to the cells. Donor-derived NK cells are also available in abundance, providing a large quantity of cells with which to begin each manufacturing run. Finally, healthy donor-derived adult cells consist of a diverse repertoire of NK cells. By utilizing a cell source that contains the full range of naturally occurring NK cells, we believe we can capitalize on the inherent diversity of the innate immune system and potentially select for different NK cell sub-populations with desired characteristics.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Prioritize development of NKX019 for B-cell mediated autoimmune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NKX019 is designed to target CD19, which is expressed through certain stages of B-cell development. When aberrantly activated, B cells can produce autoantibodies that inappropriately recognize cell surface antigens on normal cells. These antibodies and resultant immune complexes can damage normal tissues and lead to autoimmune diseases, such as LN. Due to the broad expression of CD19 on B cells, the targeting and depletion of CD19-positive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cells has been proposed as a mechanism by which long-term drug-free remissions may be achieved in B-cell mediated autoimmune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Autologous CAR T cell therapies have transformed the treatment landscape for certain blood cancers by targeting cancerous B cells via CD19. This approach also kills normal B cells in large numbers via an on-target, off-tumor effect. In those patients who respond to CD19-directed CAR T cell therapy, normal B cells are also depleted beyond detection in the blood. Recent academic studies have applied this approach of B-cell depletion to the treatment of patients with B-cell mediated autoimmune diseases. In one published report, five patients with highly refractory LN had remarkable improvements in clinical symptoms and normalization of autoantibodies following a course of treatment with CD19 CAR T cells. Because the targeting of CD19 has demonstrated clinical activity with CAR T and CAR NK cell therapies, we believe that NKX019 presents an opportunity to treat a variety of autoimmune diseases while addressing the limitations of CAR T cell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evaluating NKX019 in clinical trials for the treatment of LN, pMN, scleroderma, myositis, and AAV. We have shown that NKX019 is highly active in vitro against B cells from patients with B-cell mediated autoimmune diseases and continue to evaluate additional potential autoimmune indications for potential clinical investigation.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Continue to progress our proprietary manufacturing capabilities to enable speed, control, flexibility, scalability, and cost efficiency.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internal cGMP manufacturing capabilities will facilitate clinical product supply, lower the risk of manufacturing disruptions, and enable more cost-effective manufacturing for both clinical and, if successfully developed, commercial supply of our product candidates. We currently manufacture our clinical drug supply at one of our two cGMP facilities in South San Francisco, California. Our second facility is designed to manufacture additional clinical supply, including for potential pivotal clinical trials, and subject to successful scaling and process validation and operational readiness, may support commercial supply of NKX019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our current operating plans and assumptions regarding manufacturing scaling and facility performance, we believe our current facilities will be sufficient to meet our anticipated requirements for non-pivotal and pivotal clinical trials, as well as our potential commercial launch.</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Continue to advance our CAR NK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proprietary NK cell engineering platform is based on a modular and generalizable approach that we believe enables us to generate next generation and new product candidates in a rapid and cost-efficient manner. Our engineered CAR NK cells generally consist of an NK cell engineered with a targeting receptor, OX40 costimulatory domain, CD3ζ(zeta) signaling moiety, and mbIL-15. We believe that the modular nature of our platform and the proprietary technologies we use for the multiplex engineering of NK cells are advantages that can support the generation of new Investigational New Drugs ("INDs") for product candidates with enhanced properties. With these attributes, we plan to continue assessing opportunities to develop additional product candidates focused on novel targets as well as clinically and commercially validated targets.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Continue to evaluate enabling, adjacent or potentially competing technologies, and, where advantageous, seek licenses or collaborations regarding those technologies, to advance our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continue to evaluate enabling, adjacent, and potentially competing technologies that may enhance our NK cell platform and expand the potential applications of our product candidates. As part of these efforts, we conduct discovery and preclinical research designed to identify new targets, engineering approaches, and manufacturing innovations that may improve the functionality, scalability, or therapeutic potential of our NK cell product candidates. We may also pursue licenses, strategic collaborations, or other partnerships with biotechnology and pharmaceutical companies, academic institutions, or technology providers where such arrangements could accelerate development, broaden our platform capabilities, or support the advancement of our pipeline.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The Immune System and Autoimmune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normal role of the immune system is to defend the body’s own tissues against harmful pathogens. However, in autoimmune diseases, the immune system targets the body’s own cells and tissues. This occurs due to the loss of immune tolerance, a mechanism that prevents the immune system from reacting against the body’s own tissues and self-antigens. When immune tolerance is lost, activation of autoreactive immune cells including T and B cells occurs, resulting in T and B cells being unable to recognize the body as “self”. This leads to the body’s own T cells directly attacking target self-antigens and causes B cells to produce autoantibodies that lead to inflammation and tissue damage.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enhancement and engineering of immune effector cells to selectively target and kill pathologic cells has had a profound impact on the treatment of hematologic malignancies. This approach is now being investigated for its potential to “reset” the immune system in the context of autoimmune diseases. Several autoimmune diseases are associated with the production of autoantibodies that act against healthy cells and tissue. The use of immune effector cells to target the source of these autoantibodies is being explored as a potential disease modifying therapy for autoimmune diseases.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Cellular Immunotherapies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Cellular immunotherapy involves engineering human cells to recognize and destroy diseased cells in a targeted manner. Most cellular immunotherapies are focused on modulating or enhancing the activity of different lymphocytes, a subtype of white blood cell that are responsible for defending the body against pathogens and other foreign material, as well as killing cancerous cells within the body. There are different classes of lymphocytes which differ in function. T cells are a type of lymphocyte that primarily serves to protect from infections such as bacteria, viruses, fungi, and parasites. Every T cell recognizes a specific antigen, or substances found on pathogens or other foreign material. This type of lymphocyte is activated and divides rapidly when it detects its specific antigen. Accordingly, T cells are the foundation of the adaptive immune system, selectively responding to different threats.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NK cells are the foundation of the innate immune system. While T cells are activated by unique antigens specific to each T cell, the activity of NK cells is tightly regulated by a common set of activating receptors on these cells that serve to improve recognition and killing of cancerous or virally infected cells, as well as a set of inhibitory receptors that help identify healthy cells. This balance of inhibition and activation spares healthy cells from the surveillance and killing effects of the innate immune system.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frequently used approach for cellular immunotherapy involves engineering CARs on the surface of a lymphocyte that enable the cell to recognize specific proteins or antigens that are present on the surface of diseased cells. The concept of a CAR builds upon and enhances the normal biology of T cells and NK cells, whereby naturally occurring receptors serve to activate these cells when a foreign pathogen or transformed cell is detected. The key components of CARs used today often include the following elements: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Target binding domain. </w:t>
      </w:r>
      <w:r>
        <w:rPr>
          <w:rFonts w:ascii="Times New Roman" w:hAnsi="Times New Roman"/>
          <w:color w:val="000000"/>
          <w:sz w:val="20"/>
        </w:rPr>
        <w:t>At one end of the CAR is a binding domain that is specific to a target antigen or protein. This domain extends out from the surface of the engineered lymphocyte, where it can recognize the target antigen or antigens. The target binding domain may be based upon a binder derived from a monoclonal antibody against a target antigen, such as the CD19 binder for NKX019.</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Transmembrane domain and hinge. </w:t>
      </w:r>
      <w:r>
        <w:rPr>
          <w:rFonts w:ascii="Times New Roman" w:hAnsi="Times New Roman"/>
          <w:color w:val="000000"/>
          <w:sz w:val="20"/>
        </w:rPr>
        <w:t xml:space="preserve">This middle portion of the CAR links the target binding domain to the activating elements inside the cell. This transmembrane domain anchors the CAR in the cell’s membrane. In addition, the transmembrane domain may also interact with other transmembrane proteins that enhance CAR function. The hinge domain, which extends to the exterior of the cell, connects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transmembrane domain to the receptor and provides structural flexibility to facilitate binding to the target antigen on the surface of the target cell.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Activating domains. </w:t>
      </w:r>
      <w:r>
        <w:rPr>
          <w:rFonts w:ascii="Times New Roman" w:hAnsi="Times New Roman"/>
          <w:color w:val="000000"/>
          <w:sz w:val="20"/>
        </w:rPr>
        <w:t>The other end of the CAR, inside the lymphocyte, includes domains responsible for activating the lymphocyte when the CAR binds to its target antigen. The first, found in almost all CAR constructs, is called CD3ζ(zeta) and is the natural basis for lymphocyte activation. The second, called a costimulatory domain, is found in the more recent generations of CARs under development and provides an additional activating signal. Together, these signals trigger lymphocyte activation, resulting in proliferation of the CAR cells and killing of the diseased cells. In addition, activated CAR cells stimulate the secretion of cytokines and other molecules that can thereby recruit and activate additional immune cells to increase killing of the diseased cells.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has approved six CAR-based T-cell therapies for the treatment of certain types of cancer affecting B cells, and several CAR-based T-cell therapies are in clinical development for B-cell mediated autoimmune diseases. Each of these approved therapies is an autologous therapy, or derived from a patient’s own cells, which necessitates a complex, individualized manufacturing process for every patient treated. The approvals of these patient-specific cell therapies were a landmark event for many reasons, including the ability to treat and provide long-term remission for otherwise deadly disease; achieving the run-to-run product consistency required by the FDA despite the complex manufacturing required; and achieving successful reimbursement in the United States and other countries of several hundred thousand dollars per treatment. To date, there are no approved cell therapies to treat autoimmune diseases driven by autoantibody-producing B cells.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Limitations of Current CAR T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Despite advances made with CAR T therapies, including approvals in cancer, the accessibility of these cell therapies remains limited and may impact their potential to treat autoimmune diseases. Only a minority of eligible patients who might benefit from currently approved cell therapies are able to receive them. These therapies have certain features that are believed to limit their accessibility and broader adoption. These features include: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Adverse events. </w:t>
      </w:r>
      <w:r>
        <w:rPr>
          <w:rFonts w:ascii="Times New Roman" w:hAnsi="Times New Roman"/>
          <w:color w:val="000000"/>
          <w:sz w:val="20"/>
        </w:rPr>
        <w:t>According to the product labels for the three CAR T therapies approved for non-Hodgkin lymphoma ("NHL"), CRS was observed in 46% to 94% of patients treated in the respective pivotal clinical trials. In addition, neurotoxicity was seen in 35% to 87% of patients treated in such trials. Because of the frequency and severity of these adverse events, patients treated with the approved CAR T therapies can require lengthy hospitalization and costly ancillary care. In 2024, the FDA required that a boxed warning be added on all approved CAR T therapies for B-cell malignances to reflect the risk of secondary T-cell malignancies occurring after CAR T treatment.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Availability restricted to select centers. </w:t>
      </w:r>
      <w:r>
        <w:rPr>
          <w:rFonts w:ascii="Times New Roman" w:hAnsi="Times New Roman"/>
          <w:color w:val="000000"/>
          <w:sz w:val="20"/>
        </w:rPr>
        <w:t>Administration of CAR T therapies is concentrated at specialized treatment centers due to safety considerations, infrastructure requirements, and logistical complexity. In June 2025, the FDA eliminated the Risk Evaluation and Mitigation Strategy ("REMS") program that had previously applied to then-approved BCMA- and CD19-directed CAR T therapies; however, the administration of these therapies continues to require significant clinical expertise and institutional capabilities.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Accessibility further compromised by lengthy manufacturing time. </w:t>
      </w:r>
      <w:r>
        <w:rPr>
          <w:rFonts w:ascii="Times New Roman" w:hAnsi="Times New Roman"/>
          <w:color w:val="000000"/>
          <w:sz w:val="20"/>
        </w:rPr>
        <w:t xml:space="preserve">Due to the individualized manufacturing process, patients must wait approximately two to four weeks to be treated with their engineered cells. In the registrational trials for the first four approved CAR T therapies, 7% to 34% of enrolled patients did not receive CAR T cells, for reasons including manufacturing failure as well as patient progression or death while waiting for manufacturing.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High manufacturing complexity and cost. </w:t>
      </w:r>
      <w:r>
        <w:rPr>
          <w:rFonts w:ascii="Times New Roman" w:hAnsi="Times New Roman"/>
          <w:color w:val="000000"/>
          <w:sz w:val="20"/>
        </w:rPr>
        <w:t>The manufacture of autologous T cell therapy is individualized and labor-intensive. The collection of T cells through leukapheresis from each individual patient is a time-consuming and costly step in the autologous manufacturing process. In contrast to traditional pharmaceutical manufacturing where a single manufacturing run generates product for hundreds or thousands of patients, a full manufacturing run of autologous T cell therapy generates product for a single patient. In addition, autologous T cell therapy requires specialized infrastructure to maintain a strict chain of custody and identity of patient cells throughout collection, manufacturing and delivery, adding significant cost to the process and limiting the ability to scale.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limitations are difficult to address as many are inherent to fundamental aspects of T cell biology. CRS, which accounts for many of the adverse events which in part limit availability, is believed to be a consequence of the exponential expansion of T cells upon detection of a target antigen. Manufacturing time, product variability, and cost are due in great part to the autologous nature of approved CAR-T therapies.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Allogeneic NK Cell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of allogeneic, off-the-shelf cell therapies addresses certain limitations of autologous CAR T cells by offering these potential advantages: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Tolerability. </w:t>
      </w:r>
      <w:r>
        <w:rPr>
          <w:rFonts w:ascii="Times New Roman" w:hAnsi="Times New Roman"/>
          <w:color w:val="000000"/>
          <w:sz w:val="20"/>
        </w:rPr>
        <w:t>In initial clinical data reported by us and others, patients who received allogeneic NK cell therapies did not experience the more severe adverse events that are commonly associated with approved autologous CAR T cell therapies. This emerging safety profile of allogeneic NK cell therapies may enable their use in outpatient settings and broader access to treatment.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Availability. </w:t>
      </w:r>
      <w:r>
        <w:rPr>
          <w:rFonts w:ascii="Times New Roman" w:hAnsi="Times New Roman"/>
          <w:color w:val="000000"/>
          <w:sz w:val="20"/>
        </w:rPr>
        <w:t>Because an allogeneic NK cell therapy is produced in quantity then frozen in advance of patient need, it would be available for on-demand administration to patients in an outpatient setting.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Consistency. </w:t>
      </w:r>
      <w:r>
        <w:rPr>
          <w:rFonts w:ascii="Times New Roman" w:hAnsi="Times New Roman"/>
          <w:color w:val="000000"/>
          <w:sz w:val="20"/>
        </w:rPr>
        <w:t>By using true NK cells from a healthy donor as starting material, and producing large numbers of doses per manufacturing run, an allogeneic NK cell therapy provides the opportunity for more rigorous quality control and release of consistent engineered cells.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Cost of manufacturing. </w:t>
      </w:r>
      <w:r>
        <w:rPr>
          <w:rFonts w:ascii="Times New Roman" w:hAnsi="Times New Roman"/>
          <w:color w:val="000000"/>
          <w:sz w:val="20"/>
        </w:rPr>
        <w:t>An allogeneic NK cell therapy provides an opportunity to spread manufacturing costs across a large number of doses, thereby significantly lowering the cost per dose produced.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The Opportunity for Engineered NK Cells in Treating Autoimmune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Early studies using CD19-directed CAR T-cell therapies provide important proof of concept for disease modification in autoimmune diseases. In addition, some features of NK cells are potentially advantageous, as compared to T cells.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Well-defined target. </w:t>
      </w:r>
      <w:r>
        <w:rPr>
          <w:rFonts w:ascii="Times New Roman" w:hAnsi="Times New Roman"/>
          <w:color w:val="000000"/>
          <w:sz w:val="20"/>
        </w:rPr>
        <w:t>Targeting CD19 cells can lead to a deep suppression of the B cells that produce pathogenic autoantibodies. Despite this transient suppression afforded by cell therapy thus far, some patients have shown sustained drug-free remissions that persist after recovery. This has potential applicability to multiple autoimmune diseases that are similarly driven by autoantibodies.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Supportive data. </w:t>
      </w:r>
      <w:r>
        <w:rPr>
          <w:rFonts w:ascii="Times New Roman" w:hAnsi="Times New Roman"/>
          <w:color w:val="000000"/>
          <w:sz w:val="20"/>
        </w:rPr>
        <w:t xml:space="preserve">NKX019 has been extensively evaluated in clinical and pre-clinical settings. In our NKX019 clinical trial in oncology, NKX019 drove responses in patients with various refractory B-cell malignancies. Further,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assays reveal consistent sensitivity to B cells collected from patients with various autoimmune diseases.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B cell susceptibility. </w:t>
      </w:r>
      <w:r>
        <w:rPr>
          <w:rFonts w:ascii="Times New Roman" w:hAnsi="Times New Roman"/>
          <w:color w:val="000000"/>
          <w:sz w:val="20"/>
        </w:rPr>
        <w:t>Pathogenic B cells that secret autoantibody may be more susceptible to NK-mediated killing than cancer cells. Malignant B cells have multiple pathways for evading killing, including antigen escape via downregulation or loss of CD19 expression and growth in a tumor cluster which offers a relatively immunosuppressive and inaccessible tumor microenvironment, none of which is expected in non-malignant B cells,</w:t>
      </w:r>
      <w:r>
        <w:rPr>
          <w:color w:val="000000"/>
        </w:rPr>
        <w:t xml:space="preserve"> </w:t>
      </w:r>
      <w:r>
        <w:rPr>
          <w:rFonts w:ascii="Times New Roman" w:hAnsi="Times New Roman"/>
          <w:color w:val="000000"/>
          <w:sz w:val="20"/>
        </w:rPr>
        <w:t>although</w:t>
      </w:r>
      <w:r>
        <w:rPr>
          <w:color w:val="000000"/>
        </w:rPr>
        <w:t xml:space="preserve"> </w:t>
      </w:r>
      <w:r>
        <w:rPr>
          <w:rFonts w:ascii="Times New Roman" w:hAnsi="Times New Roman"/>
          <w:color w:val="000000"/>
          <w:sz w:val="20"/>
        </w:rPr>
        <w:t>NKX019 can target cells expressing low levels of CD19. Further, the cell burden of target cells is generally much lower at the time of treatment in autoimmune diseases than in B-cell malignancies, thereby increasing the expected effector to target ratio of NKX019 in contrast to the antigen-dependent activation</w:t>
      </w:r>
      <w:r>
        <w:rPr>
          <w:color w:val="000000"/>
        </w:rPr>
        <w:t xml:space="preserve"> </w:t>
      </w:r>
      <w:r>
        <w:rPr>
          <w:rFonts w:ascii="Times New Roman" w:hAnsi="Times New Roman"/>
          <w:color w:val="000000"/>
          <w:sz w:val="20"/>
        </w:rPr>
        <w:t>and expansion required by CD19-directed CAR T therapies.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Tissue trafficking and penetration. </w:t>
      </w:r>
      <w:r>
        <w:rPr>
          <w:rFonts w:ascii="Times New Roman" w:hAnsi="Times New Roman"/>
          <w:color w:val="000000"/>
          <w:sz w:val="20"/>
        </w:rPr>
        <w:t xml:space="preserve">NK cells traffic to nearly every tissue in the body, including immune-privileged sites that are known to be isolated from the rest of the body’s immune system. In addition, malignant B cells provide a proxy for trafficking of B cells, and NKX019 has driven complete responses in patients with NHL despite widespread malignant B cell (blood, bone marrow, lymph nodes, secondary lymphoid tissue, extra-nodal sites).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Immediate activity.</w:t>
      </w:r>
      <w:r>
        <w:rPr>
          <w:color w:val="000000"/>
        </w:rPr>
        <w:t xml:space="preserve"> </w:t>
      </w:r>
      <w:r>
        <w:rPr>
          <w:rFonts w:ascii="Times New Roman" w:hAnsi="Times New Roman"/>
          <w:color w:val="000000"/>
          <w:sz w:val="20"/>
        </w:rPr>
        <w:t>NK cells do not require expansion for maximal activity and peak exposure occurs near the time of infusion. The explosive growth of T cells is believed to be the basis of both their activity and the risk of CRS and immune effector cell-associated neurotoxicity syndrome associated with CAR T cell therapy.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Disease-tailored LD.</w:t>
      </w:r>
      <w:r>
        <w:rPr>
          <w:color w:val="000000"/>
        </w:rPr>
        <w:t xml:space="preserve"> </w:t>
      </w:r>
      <w:r>
        <w:rPr>
          <w:rFonts w:ascii="Times New Roman" w:hAnsi="Times New Roman"/>
          <w:color w:val="000000"/>
          <w:sz w:val="20"/>
        </w:rPr>
        <w:t>Adoptive cell therapy typically requires LD, which is preparative chemotherapy often with Cy and Flu, to provide an optimal cytokine milieu and suppress the host immune response.</w:t>
      </w:r>
      <w:r>
        <w:rPr>
          <w:color w:val="000000"/>
        </w:rPr>
        <w:t xml:space="preserve"> </w:t>
      </w:r>
      <w:r>
        <w:rPr>
          <w:rFonts w:ascii="Times New Roman" w:hAnsi="Times New Roman"/>
          <w:color w:val="000000"/>
          <w:sz w:val="20"/>
        </w:rPr>
        <w:t>However, the pharmacokinetics of NK cells and T cells differ, enabling alternative LD approaches to address these differences. Specifically, the early peak exposure and mbIL-15 engineering of NKX019 allow evaluation of single-agent LD with Cy. A Flu-sparing LD regimen would eliminate potential toxicities of this agent, including cytopenias and myelodysplastic syndromes. Further, Cy is already used by specialist providers for various autoimmune conditions and may provide an opportunity for expanding this potentially disease-modifying to multiple other areas of high unmet need beyond SLE.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On-demand availability. </w:t>
      </w:r>
      <w:r>
        <w:rPr>
          <w:rFonts w:ascii="Times New Roman" w:hAnsi="Times New Roman"/>
          <w:color w:val="000000"/>
          <w:sz w:val="20"/>
        </w:rPr>
        <w:t>Because an allogeneic NK cell therapy is produced in quantity then frozen in advance of patient need, it would be available for on-demand administration to patients, potentially in an outpatient setting, where patients with autoimmune diseases are typically treated. This approach also eliminates the need for infrastructure to support apheresis and other facets of bespoke manufacturing, lowering the burden for providers and facilities to deliver therapy.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Challenges with Developing NK Cell Therapies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emerging data from our clinical trials of NK cell products along with the prior academic experience with NK cells validate the opportunity for NK cells for the treatment of autoimmune diseases. To achieve a commercially viable engineered NK cell therapy, we believe that a number of challenges inherent with NK cells must be addressed. These include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Expansion. </w:t>
      </w:r>
      <w:r>
        <w:rPr>
          <w:rFonts w:ascii="Times New Roman" w:hAnsi="Times New Roman"/>
          <w:color w:val="000000"/>
          <w:sz w:val="20"/>
        </w:rPr>
        <w:t>One of the historical challenges in treating patients with NK cells has been the lack of robust techniques to grow these cells in large numbers without causing exhaustion, or the inability of the expanded NK cells to kill target cells with the same potency as native NK cells.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Engineering. </w:t>
      </w:r>
      <w:r>
        <w:rPr>
          <w:rFonts w:ascii="Times New Roman" w:hAnsi="Times New Roman"/>
          <w:color w:val="000000"/>
          <w:sz w:val="20"/>
        </w:rPr>
        <w:t>Primary NK cells have been reported to be difficult to engineer efficiently. Poor efficiency of engineering could limit the potency and consistency of engineered NK cell therapies.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Persistence. </w:t>
      </w:r>
      <w:r>
        <w:rPr>
          <w:rFonts w:ascii="Times New Roman" w:hAnsi="Times New Roman"/>
          <w:color w:val="000000"/>
          <w:sz w:val="20"/>
        </w:rPr>
        <w:t>Non-engineered human NK cells turn over rapidly, with a half-life of seven to 10 days in the body. This short lifetime could limit the cytotoxicity of these NK cells.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 xml:space="preserve">Cryopreservation. </w:t>
      </w:r>
      <w:r>
        <w:rPr>
          <w:rFonts w:ascii="Times New Roman" w:hAnsi="Times New Roman"/>
          <w:color w:val="000000"/>
          <w:sz w:val="20"/>
        </w:rPr>
        <w:t>Without cryopreservation, a truly off-the-shelf engineered NK cell therapy would be challenging to commercialize. However, freezing then thawing NK cells while maintaining cytotoxicity is difficult to achieve using standard techniques for T cell cryopreservation.</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Our NK Cell Engineering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cell engineering platform is designed to operationalize the full therapeutic potential of NK cells and address the limitations and challenges of current technologies for engineering T cells and NK cells. The platform is a result of our internal expertise and deep understanding of NK cell biology. It includes proprietary technologies for NK cell expansion, persistence, targeting, genome editing, and cryopreservation. This enables us to generate an abundant supply of NK cells, engineer enhanced NK cell recognition of target antigens, improve the persistence of these cells for sustained activity in the body, and freeze, transport and store our engineered NK cells for off-the-shelf use for the treatment of autoimmune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chosen to use healthy donors as our source for NK cells. We believe this offers a number of advantages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Starting with differentiated, natural, and mature NK cells with inherent cell-targeting and cytotoxic capabilities, as compared to other cell sources such as stem cells, which must be artificially manipulated in an in vitro setting to reproduce these fundamental features;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large number of NK cells as starting material for each manufacturing run, as compared to other potential sources of NK cells;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select donors with consistent and favorable NK cell characteristics, thereby avoiding challenges with patient-derived or other cell sources;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diverse repertoire of NK cells. Different NK cell sub-populations have different characteristics, and by utilizing the entire natural gamut of NK cells as our cell source, we can capitalize on the inherent diversity of the innate immune system.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Below are the five core technologies that comprise our proprietary platform. Each of these technologies is part of an integrated approach to develop potent, scalable, and consistent NK cell products: </w:t>
      </w:r>
    </w:p>
    <w:p>
      <w:pPr>
        <w:pStyle w:val="TextBody"/>
        <w:bidi w:val="0"/>
        <w:spacing w:before="240" w:after="283"/>
        <w:jc w:val="left"/>
        <w:rPr>
          <w:rFonts w:ascii="Times New Roman" w:hAnsi="Times New Roman"/>
          <w:sz w:val="20"/>
        </w:rPr>
      </w:pPr>
      <w:r>
        <w:rPr>
          <w:rFonts w:ascii="Times New Roman" w:hAnsi="Times New Roman"/>
          <w:b/>
          <w:color w:val="000000"/>
          <w:sz w:val="20"/>
        </w:rPr>
        <w:t>Expansion.</w:t>
      </w:r>
      <w:r>
        <w:rPr>
          <w:rFonts w:ascii="Times New Roman" w:hAnsi="Times New Roman"/>
          <w:color w:val="000000"/>
          <w:sz w:val="20"/>
        </w:rPr>
        <w:t xml:space="preserve"> The first pillar of our technology platform enables NK cell expansion without causing cell exhaustion. Our proprietary, engineered K562 stimulatory cells ("NKSTIM cells") have been engineered with mbIL-15 as well as a protein named 4-1BB ligand ("4-1BBL"). IL-15 is a naturally occurring growth protein that induces cell proliferation in NK cells. 4-1BBL binds to 4-1BB, a receptor normally found on NK cells that stimulates NK cell division and expansion. Therefore, NKSTIM cells are selectively able to stimulate the expansion of NK cells as compared to other leukocytes, and thereby provide large numbers of NK cells. Based on our current process and early cGMP manufacturing experience, we believe that we can produce hundreds of doses from a single manufacturing run. </w:t>
      </w:r>
    </w:p>
    <w:p>
      <w:pPr>
        <w:pStyle w:val="TextBody"/>
        <w:bidi w:val="0"/>
        <w:spacing w:before="240" w:after="283"/>
        <w:jc w:val="left"/>
        <w:rPr>
          <w:rFonts w:ascii="Times New Roman" w:hAnsi="Times New Roman"/>
          <w:sz w:val="20"/>
        </w:rPr>
      </w:pPr>
      <w:r>
        <w:rPr>
          <w:rFonts w:ascii="Times New Roman" w:hAnsi="Times New Roman"/>
          <w:b/>
          <w:color w:val="000000"/>
          <w:sz w:val="20"/>
        </w:rPr>
        <w:t>Persistence.</w:t>
      </w:r>
      <w:r>
        <w:rPr>
          <w:rFonts w:ascii="Times New Roman" w:hAnsi="Times New Roman"/>
          <w:color w:val="000000"/>
          <w:sz w:val="20"/>
        </w:rPr>
        <w:t xml:space="preserve"> Pharmacokinetics of allogeneic NK cells will be limited by both immune suppression of allogeneic cells following LD, and by the intrinsic half-life of the administered cells. In addition to immune suppression, LD enhances the bioavailability of host cytokines, especially IL-15, which is associated with improved persistence of CAR T cell therapies. The second component of our technology platform is engineering NK cells with mbIL-15 to enhance their persistence without dependence on LD-mediated cytokines, facilitating a disease-tailored approach to LD. Because IL-15 is a selective driver of NK activation and expansion, tethering IL-15 to the surface of our engineered NK cells serves to stimulate the naturally occurring IL-15 receptor on these NKs, and thereby provide weeks of persistence in immune-deficient animal models. Because mbIL-15 selectively stimulates NK cells without elevating soluble IL-15 concentration, we believe that mbIL-15 provides meaningful advantages as compared to secreted IL-15 or the systemic administration of other cytokines such as IL-2 or IL-21. The first graph below shows data from a cell culture experiment which demonstrates the increase of the number and persistence of NK cells engineered with mbIL-15, as compared to unmodified NK cells or NK cells expressing soluble IL-15. The second graph below shows the increased number and persistence in mice of NK cells engineered with mbIL-15, as compared to unmodified NK cells, as a percentage of total peripheral blood mononuclear cells.</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5915025" cy="3971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15025" cy="3971925"/>
                    </a:xfrm>
                    <a:prstGeom prst="rect">
                      <a:avLst/>
                    </a:prstGeom>
                  </pic:spPr>
                </pic:pic>
              </a:graphicData>
            </a:graphic>
          </wp:inline>
        </w:drawing>
      </w:r>
    </w:p>
    <w:p>
      <w:pPr>
        <w:pStyle w:val="TextBody"/>
        <w:bidi w:val="0"/>
        <w:jc w:val="left"/>
        <w:rPr>
          <w:rFonts w:ascii="Times New Roman" w:hAnsi="Times New Roman"/>
          <w:color w:val="000000"/>
          <w:sz w:val="20"/>
        </w:rPr>
      </w:pPr>
      <w:r>
        <w:rPr>
          <w:rFonts w:ascii="Times New Roman" w:hAnsi="Times New Roman"/>
          <w:color w:val="000000"/>
          <w:sz w:val="20"/>
        </w:rPr>
        <w:t>Source: Imamura et al., Blood. 2014 Aug 14;124(7):1081-8</w:t>
      </w:r>
    </w:p>
    <w:p>
      <w:pPr>
        <w:pStyle w:val="TextBody"/>
        <w:bidi w:val="0"/>
        <w:jc w:val="left"/>
        <w:rPr/>
      </w:pPr>
      <w:r>
        <w:rPr/>
        <w:t> </w:t>
      </w:r>
    </w:p>
    <w:p>
      <w:pPr>
        <w:pStyle w:val="TextBody"/>
        <w:bidi w:val="0"/>
        <w:jc w:val="center"/>
        <w:rPr/>
      </w:pPr>
      <w:r>
        <w:rPr/>
        <w:drawing>
          <wp:inline distT="0" distB="0" distL="0" distR="0">
            <wp:extent cx="5600700" cy="3914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00700" cy="3914775"/>
                    </a:xfrm>
                    <a:prstGeom prst="rect">
                      <a:avLst/>
                    </a:prstGeom>
                  </pic:spPr>
                </pic:pic>
              </a:graphicData>
            </a:graphic>
          </wp:inline>
        </w:drawing>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b/>
          <w:color w:val="000000"/>
          <w:sz w:val="20"/>
        </w:rPr>
        <w:t>Targeting and Signaling.</w:t>
      </w:r>
      <w:r>
        <w:rPr>
          <w:rFonts w:ascii="Times New Roman" w:hAnsi="Times New Roman"/>
          <w:color w:val="000000"/>
          <w:sz w:val="20"/>
        </w:rPr>
        <w:t xml:space="preserve"> The third element of our technology platform is CARs optimized for NK cells, based on extensive preclinical evaluation of different possible constructs. We have performed extensive optimization of the CARs that serve to direct our engineered NK cells to target-cells as well as provide signals that engage the inherent ability of NK cells to target and kill transformed cells. For NKX019, we have found that using the OX40 costimulatory domain enhances the ability of the engineered NK cells to kill cancerous cells repeatedly in several </w:t>
      </w:r>
      <w:r>
        <w:rPr>
          <w:rFonts w:ascii="Times New Roman" w:hAnsi="Times New Roman"/>
          <w:i/>
          <w:color w:val="000000"/>
          <w:sz w:val="20"/>
        </w:rPr>
        <w:t>in vitro</w:t>
      </w:r>
      <w:r>
        <w:rPr>
          <w:rFonts w:ascii="Times New Roman" w:hAnsi="Times New Roman"/>
          <w:color w:val="000000"/>
          <w:sz w:val="20"/>
        </w:rPr>
        <w:t xml:space="preserve"> models, as compared to CAR NK cells that include other costimulatory domains commonly used for CAR T cells. We confirmed these findings in animal models for both product candidates.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Genome Editing. </w:t>
      </w:r>
      <w:r>
        <w:rPr>
          <w:rFonts w:ascii="Times New Roman" w:hAnsi="Times New Roman"/>
          <w:color w:val="000000"/>
          <w:sz w:val="20"/>
        </w:rPr>
        <w:t>The fourth component of our platform is the ability to edit our NK cells using CRISPR-Cas9 technology. We have identified a number of genomic modifications that serve to further enhance the cytotoxicity and resistance to tumor-mediated immune suppression. We have shown that knocking out certain genes can prolong the persistence and activity of CAR NK cells, and improve their resistance to suppression by the tumor microenvironment.</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Immune Evasion. </w:t>
      </w:r>
      <w:r>
        <w:rPr>
          <w:rFonts w:ascii="Times New Roman" w:hAnsi="Times New Roman"/>
          <w:color w:val="000000"/>
          <w:sz w:val="20"/>
        </w:rPr>
        <w:t>Through a combination of ectopic expression and genome editing, we have identified a number of strategies that could enable NK cells to resist allogeneic suppression.</w:t>
      </w:r>
    </w:p>
    <w:p>
      <w:pPr>
        <w:pStyle w:val="TextBody"/>
        <w:bidi w:val="0"/>
        <w:spacing w:before="240" w:after="283"/>
        <w:jc w:val="left"/>
        <w:rPr>
          <w:rFonts w:ascii="Times New Roman" w:hAnsi="Times New Roman"/>
          <w:sz w:val="20"/>
        </w:rPr>
      </w:pPr>
      <w:r>
        <w:rPr>
          <w:rFonts w:ascii="Times New Roman" w:hAnsi="Times New Roman"/>
          <w:b/>
          <w:color w:val="000000"/>
          <w:sz w:val="20"/>
        </w:rPr>
        <w:t>Cryopreservation.</w:t>
      </w:r>
      <w:r>
        <w:rPr>
          <w:rFonts w:ascii="Times New Roman" w:hAnsi="Times New Roman"/>
          <w:color w:val="000000"/>
          <w:sz w:val="20"/>
        </w:rPr>
        <w:t xml:space="preserve"> The fifth constituent of our technology platform is cryopreservation of our engineered NK cells, the ability to freeze and store these cells for an extended time. The development of robust cryopreservation techniques is a result of our insight into the biology of engineered NK cells as well as extensive experimental optimization. Based on our preclinical data, we are able to freeze and subsequently thaw individual doses of engineered NK cells without significant loss of cell killing potency of our engineered NK cells. Cryopreservation of our allogeneic CAR NK cells will enable their off-the-shelf use in medical centers around the world, for administration to a patient at any time. Therefore, we believe that our cryopreservation of CAR NK cells will enable us to achieve the attractive commercial profile of an off-the-shelf, allogeneic cell therapy.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these key elements of our technology platform have the potential to grant us a key competitive advantage if our product candidates are approved.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Our Pipeline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pipeline for our lead program is shown below. </w:t>
      </w:r>
    </w:p>
    <w:p>
      <w:pPr>
        <w:pStyle w:val="TextBody"/>
        <w:bidi w:val="0"/>
        <w:spacing w:before="120" w:after="283"/>
        <w:jc w:val="left"/>
        <w:rPr/>
      </w:pPr>
      <w:r>
        <w:rPr/>
        <w:drawing>
          <wp:inline distT="0" distB="0" distL="0" distR="0">
            <wp:extent cx="5943600" cy="1905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943600" cy="1905000"/>
                    </a:xfrm>
                    <a:prstGeom prst="rect">
                      <a:avLst/>
                    </a:prstGeom>
                  </pic:spPr>
                </pic:pic>
              </a:graphicData>
            </a:graphic>
          </wp:inline>
        </w:drawing>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NKX019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 NKX019 consists of allogeneic, donor-derived and expanded NK cells that have been genetically engineered to express mbIL-15 along with a CAR containing a CD19 binder, an OX40 costimulatory domain and a CD3ζ(zeta) signaling moiety for enhanced cell targeting and greater persistence and activity. CD19 is expressed on B cells through various stages of development, including on plasmablasts, which are associated with autoantibody production. NKX019 is active against B cells, supported by our clinical data from patients in our clinical protocols, as well as in vitro studies using cell collected from patients with various autoimmune diseases. </w:t>
      </w:r>
    </w:p>
    <w:p>
      <w:pPr>
        <w:pStyle w:val="TextBody"/>
        <w:bidi w:val="0"/>
        <w:jc w:val="center"/>
        <w:rPr/>
      </w:pPr>
      <w:r>
        <w:rPr/>
        <w:drawing>
          <wp:inline distT="0" distB="0" distL="0" distR="0">
            <wp:extent cx="5410200" cy="34575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10200" cy="3457575"/>
                    </a:xfrm>
                    <a:prstGeom prst="rect">
                      <a:avLst/>
                    </a:prstGeom>
                  </pic:spPr>
                </pic:pic>
              </a:graphicData>
            </a:graphic>
          </wp:inline>
        </w:drawing>
      </w:r>
    </w:p>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Ntrust-1 Clinical Trial for Lupus Nephritis and Primary Membranous Nephropathy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2023, we announced the clearance of an IND application by the FDA to evaluate NKX019 for the treatment of LN in our Ntrust-1 clinical trial, and in May 2025, we announced the addition of pMN as an indication to our Ntrust-1 clinical trial, which is a multi-center, open-label, dose-escalation Phase 1 clinical trial that evaluates the safety and clinical activity of NKX019 in patients with refractory LN. The clinical trial consists of dose-finding followed by dose-expansion and is designed to identify the recommended Phase 2 dose. Patients receive a three-dose cycle of NKX019 at 1 billion or 1.5 billion cells per dose on Days 0, 3, and 7 following LD with single agent cyclophosphamide, an agent with an established safety profile in SLE and LN. The study is designed to initially enroll up to 12 patients, and in December 2024, we announced the first patient had been dosed. The dosing schema for the clinical trial is shown in the graphic below. </w:t>
      </w:r>
    </w:p>
    <w:p>
      <w:pPr>
        <w:pStyle w:val="TextBody"/>
        <w:bidi w:val="0"/>
        <w:spacing w:before="120" w:after="283"/>
        <w:jc w:val="left"/>
        <w:rPr/>
      </w:pPr>
      <w:r>
        <w:rPr/>
        <w:drawing>
          <wp:inline distT="0" distB="0" distL="0" distR="0">
            <wp:extent cx="3505200" cy="1495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505200" cy="1495425"/>
                    </a:xfrm>
                    <a:prstGeom prst="rect">
                      <a:avLst/>
                    </a:prstGeom>
                  </pic:spPr>
                </pic:pic>
              </a:graphicData>
            </a:graphic>
          </wp:inline>
        </w:drawing>
      </w:r>
      <w:r>
        <w:rPr/>
        <w:drawing>
          <wp:inline distT="0" distB="0" distL="0" distR="0">
            <wp:extent cx="1885950" cy="971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885950" cy="971550"/>
                    </a:xfrm>
                    <a:prstGeom prst="rect">
                      <a:avLst/>
                    </a:prstGeom>
                  </pic:spPr>
                </pic:pic>
              </a:graphicData>
            </a:graphic>
          </wp:inline>
        </w:drawing>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Ntrust-2 Clinical Trial for Additional Autoimmune Diseases</w:t>
      </w:r>
    </w:p>
    <w:p>
      <w:pPr>
        <w:pStyle w:val="TextBody"/>
        <w:bidi w:val="0"/>
        <w:spacing w:before="120" w:after="283"/>
        <w:jc w:val="left"/>
        <w:rPr>
          <w:rFonts w:ascii="Times New Roman" w:hAnsi="Times New Roman"/>
          <w:sz w:val="20"/>
        </w:rPr>
      </w:pPr>
      <w:r>
        <w:rPr>
          <w:rFonts w:ascii="Times New Roman" w:hAnsi="Times New Roman"/>
          <w:color w:val="000000"/>
          <w:sz w:val="20"/>
        </w:rPr>
        <w:t>In June 2024, we announced the clearance of an IND application by the FDA to evaluate NKX019 for the treatment of scleroderma, myositis, and AAV.</w:t>
      </w:r>
      <w:r>
        <w:rPr>
          <w:rFonts w:ascii="Times New Roman" w:hAnsi="Times New Roman"/>
          <w:color w:val="165164"/>
          <w:sz w:val="20"/>
        </w:rPr>
        <w:t xml:space="preserve"> </w:t>
      </w:r>
      <w:r>
        <w:rPr>
          <w:rFonts w:ascii="Times New Roman" w:hAnsi="Times New Roman"/>
          <w:color w:val="000000"/>
          <w:sz w:val="20"/>
        </w:rPr>
        <w:t xml:space="preserve">Ntrust-2 is enrolling patients with scleroderma, myositis, and AAV into parallel cohorts, and NKX019 will be dosed on Days 0, 3, and 7. The study is designed to initially enroll up to 12 patients. The dosing schema for the clinical trial is shown in the graphic below. </w:t>
      </w:r>
    </w:p>
    <w:p>
      <w:pPr>
        <w:pStyle w:val="TextBody"/>
        <w:bidi w:val="0"/>
        <w:spacing w:before="120" w:after="283"/>
        <w:jc w:val="left"/>
        <w:rPr/>
      </w:pPr>
      <w:r>
        <w:rPr/>
        <w:drawing>
          <wp:inline distT="0" distB="0" distL="0" distR="0">
            <wp:extent cx="3390900" cy="1485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390900" cy="1485900"/>
                    </a:xfrm>
                    <a:prstGeom prst="rect">
                      <a:avLst/>
                    </a:prstGeom>
                  </pic:spPr>
                </pic:pic>
              </a:graphicData>
            </a:graphic>
          </wp:inline>
        </w:drawing>
      </w:r>
      <w:r>
        <w:rPr>
          <w:color w:val="000000"/>
        </w:rPr>
        <w:t xml:space="preserve"> </w:t>
      </w:r>
      <w:r>
        <w:rPr/>
        <w:drawing>
          <wp:inline distT="0" distB="0" distL="0" distR="0">
            <wp:extent cx="1771650" cy="15811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71650" cy="1581150"/>
                    </a:xfrm>
                    <a:prstGeom prst="rect">
                      <a:avLst/>
                    </a:prstGeom>
                  </pic:spPr>
                </pic:pic>
              </a:graphicData>
            </a:graphic>
          </wp:inline>
        </w:drawing>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Investigator Sponsored Trials for Autoimmune Diseases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2024, we announced that researchers at Columbia University Irving Medical Center initiated an IST of NKX019 in patients with SLE, and in November 2024, we announced that their first patient had been dosed. This single-center, single-arm, open-label Phase 1 IST is designed to enroll up to six patients with SLE, regardless of renal involvement, and will evaluate safety and clinical outcomes in a potentially different population than Ntrust-1. Translational and biomarker studies, including autoantibodies, cytokine profiles and pharmacokinetics are also planned. Patients receive NKX019 on Days 0, 3 and 7 following LD with single-agent cyclophosphamide.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2024, we announced the IND clearance of an IST led by researchers at the University of California, Irvine and the University of Kansas Medical Center to evaluate NKX019 in patients with MG. The single-arm, open-label Phase 1 IST is designed to enroll patients with MG and will evaluate safety and clinical outcomes. Translational and biomarker studies, including autoantibodies, cytokine profiles and pharmacokinetics are also planned. Patients will receive NKX019 on Days 0, 3 and 7 following LD with single-agent cyclophosphamide.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CAR NK Platform and Other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prioritized the development of NKX019 for B-cell mediated autoimmune diseases. We plan to continue assessing opportunities for further expansion of NKX019 into additional indications with supportive data for our mechanism. While the further development of our oncology programs has been deprioritized, we continue to monitor enrolled patients.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Manufacturing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process for the generation of an allogeneic, off-the-shelf NK cell therapy requires multiple steps. To achieve a commercially viable product, we believe that each of these steps must be scalable, reproducible and cost-effective and must provide consistent cell killing potency of our CAR NK cells once these cells are frozen and then thawed. Therefore, we have focused on developing a manufacturing process that incorporates the following elements: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starting material consisting of differentiated, mature NK cells with inherent cytotoxic and tumor-recognizing capabilities, as compared to other cell sources such as stem cells, where these fundamental features must be engineered into the cells which must be artificially manipulated in an in vitro setting to reproduce these fundamental features;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cell source which provides high numbers of easily characterized NK cells;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technology which increases the number of NK cells by orders of magnitude, without inducing exhaustion;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techniques for genetic engineering of NK cells which are cost-effective and which introduce a controlled and specified range of the number of copies of the gene into each cell;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techniques for genome editing of NK cells to selectively knock-out or knock-in genetic targets in each cell;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cryopreservation techniques that permit bulk CAR NK cells to be frozen in individual doses;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techniques for thawing the frozen NK cell product that are easy to adopt in different clinical settings, and that provide consistent CAR NK cell recovery, viability and potency.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overall manufacturing scheme is shown in the diagram below.</w:t>
      </w:r>
    </w:p>
    <w:p>
      <w:pPr>
        <w:pStyle w:val="TextBody"/>
        <w:bidi w:val="0"/>
        <w:spacing w:before="240" w:after="283"/>
        <w:jc w:val="left"/>
        <w:rPr/>
      </w:pPr>
      <w:r>
        <w:rPr/>
        <w:drawing>
          <wp:inline distT="0" distB="0" distL="0" distR="0">
            <wp:extent cx="5943600" cy="1781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943600" cy="1781175"/>
                    </a:xfrm>
                    <a:prstGeom prst="rect">
                      <a:avLst/>
                    </a:prstGeom>
                  </pic:spPr>
                </pic:pic>
              </a:graphicData>
            </a:graphic>
          </wp:inline>
        </w:drawing>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source material for production of our off-the-shelf NK cell therapy product candidates is NK cells collected from healthy donors by leukapheresis, the selective collection of white blood cells from plasma. We then isolate the NK cells from the other cells in the leukapheresis product. Next, we selectively activate the NK cells by co-culture with NKSTIM cells. After initial expansion, we engineer the expanded NK cells using a gamma-retrovirus to express mbIL-15 and the CAR. We further expand the NK cells, followed by harvesting and cryopreservation to form the final cell product. For off-the-shelf administration, clinical sites will thaw the CAR NK product candidate for administration to patients at the clinical site.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establishing our own internal cGMP manufacturing capabilities will facilitate clinical product supply, lower the risk of manufacturing disruptions, and enable more cost-effective manufacturing for clinical and commercial supply of our product candidates. We have a 2,700-square foot clinical cGMP facility at our original corporate location in South San Francisco, California, which we have used to produce clinical supply. We have a second facility in South San Francisco to support research and development and future manufacturing of Nkarta’s cell therapy products and product candidates, including potential needs for pivotal clinical trials and commercial launch. In addition to housing a 12,500-square foot cGMP facility, the second site also serves as our headquarters with office space and research facilities. We currently manufacture clinical supply of NKSTIM cells and the gamma-retrovirus at third-party contract manufacturing sites. We may manufacture NKSTIM cells in house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Compliance with government regulations related to the manufacture of our product candidates may require significant effort and financial resources. The design, construction, qualification and regulatory approvals for our cGMP manufacturing facilities require substantial capital and technical expertise. The facilities will be subject to inspection by the FDA and other regulatory agencies to ensure compliance with cGMP. Any delays in receiving regulatory approvals for our manufacturing facilities or any failure by us to comply with applicable regulations at our manufacturing facilities could delay our development and commercialization activities. In addition, if our product candidates fail to meet the required specifications after manufacture or if we change the manufacturing process, we may need to obtain additional regulatory approvals. If we are not able to obtain the necessary additional regulatory approvals, we may need to perform additional clinical trials or manufacturing runs or further refine our manufacturing processes, which could delay development and commercialization of our product candidates and cost substantial additional capital. Any delays in our development and commercialization activities could have a material effect on our business, financial position, results of operations and competitive position.</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Patents, Trademarks and Proprietary Technology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protect our intellectual property rights and proprietary technology with a combination of patent rights that we own or license in certain fields of use, trademark rights, confidentiality procedures and contractual 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Our patent portfolio consists of a combination of issued patents and pending patent applications licensed from third parties, jointly owned by us with third parties, and owned solely by us. For example, some of our issued patents and patent applications are exclusively licensed to us in therapeutic fields of use from the National University of Singapore ("NUS"), St. Jude Children’s Research Hospital, Inc., or both (collectively, "Licensors"). As of December 31, 2025, our patent portfolio includes at least 55 issued utility patents and at least 200 pending utility patent applications, which are solely owned by us, jointly owned with others, or licensed to us. Our portfolio includes patents and patent applications that relate to NKX019, our NK cell engineering platform (e.g., NK cell expansion and/or persistence), potential future pipeline product candidates, and alternative technologies.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least 30 of the issued utility patents and at least 50 of the pending utility patent applications in our portfolio are related to our NKX019 product candidate, and include composition-of-matter, manufacturing process, and method-of-use claims (e.g., targeting CD19-expressing cells, including monotherapies and combination therapies). These issued utility patents include patents in the United States, Europe, Japan, and other jurisdictions outside the United States and are solely owned by us or licensed from Licensors. These pending utility patent applications include applications in the United States, Europe, Japan, the Patent Cooperation Treaty, and other jurisdictions outside the United States. Of these pending patent applications, at least 45 are solely owned by us, with the remaining licensed from Licensors. The estimated expiration dates of the issued utility patents are between approximately 2024 and 2040, and the estimated expiration dates of the pending utility patent applications, to the extent they issue as patents or are used to establish nonprovisional patent applications that issue as patents, are between approximately 2024 and 2046, with estimated expiration dates subject to any patent term adjustments or extensions. Among these issued utility patents and pending utility patent applications, we have three issued US patents and one pending U.S. patent application with composition-of-matter claims directed to our NKX019 product candidate, all of which are solely owned by us and are estimated to expire in 2040, subject to any patent term adjustments or extensions.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least 20 of the issued utility patents and at least 15 of the pending utility patent applications in our portfolio are related to our NK cell engineering platform, and include manufacturing process, method-of-use and composition-of-matter claims relating to NK cell expansion and/or NK cell persistence. These issued utility patents include patents in the United States, Europe, Japan, and other jurisdictions outside the United States and are solely owned by us or licensed from Licensors. These pending utility patent applications include applications in the United States, Europe, Japan, and other jurisdictions outside the United States. Of these pending patent applications, at least 10 are solely owned by us, with the remaining licensed from Licensors. The estimated expiration dates of the issued utility patents are between approximately 2024 and 2040, and the estimated expiration dates of the pending utility patent applications, to the extent they issue as patents or are used to establish nonprovisional patent applications that issue as patents, are between approximately 2024 and 2045, with estimated expiration dates subject to any patent term adjustments or extensions. Composition-of-matter claims relating to our NKSTIM cells are estimated to have expired in Q4 2024, subject to any patent term adjustments or extensions.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2016, we entered into a license agreement with the Licensors. Pursuant to this license, the Licensors granted to us an exclusive, worldwide, royalty-bearing, sublicensable license under specified patents and patent applications related to NK cell technology in the field of therapeutics. Payments to the Licensors pursuant to the license agreement include single-digit royalty payments on commercial sales, a portion of any sublicensing revenue, patent expenses, license maintenance fees and milestone payments upon completion of certain regulatory and commercial milestones related to the clinical development and commercialization of our product candidates, in an aggregate amount of up to 5 million Singapore Dollars. The License Agreement also includes certain performance objectives which obligate us to meet various milestones related to the clinical development and commercialization of our product candidates over time for up to 120 months after the effective date of the License Agreement. The term of the license agreement extends until expiration of the last of the patent rights licensed to us by the Licensors, which is currently expected to occur in approximately 2039, subject to any patent term adjustments or extensions. We may terminate the license agreement at will upon 90 days’ prior written notice to the Licensors. The Licensors may terminate the license agreement for certain conditions such as uncured material breach by us, the cession of our business, or our insolvency, liquidation, or receivership.</w:t>
      </w:r>
    </w:p>
    <w:p>
      <w:pPr>
        <w:pStyle w:val="TextBody"/>
        <w:bidi w:val="0"/>
        <w:spacing w:before="240" w:after="283"/>
        <w:jc w:val="left"/>
        <w:rPr>
          <w:rFonts w:ascii="Times New Roman" w:hAnsi="Times New Roman"/>
          <w:sz w:val="20"/>
        </w:rPr>
      </w:pPr>
      <w:r>
        <w:rPr>
          <w:rFonts w:ascii="Times New Roman" w:hAnsi="Times New Roman"/>
          <w:color w:val="000000"/>
          <w:sz w:val="20"/>
        </w:rPr>
        <w:t>The U.S. government has certain rights in some of our licensed patents (including U.S. Patent Nos. 7,435,596, 8,026,097, and 11,673,937 and certain related U.S. patent applications, which relate to our NK cell engineering platform) in accordance with the Bayh-Dole Act of 1980. These rights in certain technology developed under government-funded research include, for example, a license to use those inventions for governmental purposes and the right to require us to grant exclusive licenses to such inventions to a third party under certain circumstances. In addition, the U.S. government requires that any products embodying any of these inventions or produced through the use of any of these inventions be manufactured substantially in the United States unless domestic manufacture is not feasible or the requirement is waived. For further details about risks related to the government’s rights in such inventions, see “—</w:t>
      </w:r>
      <w:r>
        <w:rPr>
          <w:rFonts w:ascii="Times New Roman" w:hAnsi="Times New Roman"/>
          <w:i/>
          <w:color w:val="000000"/>
          <w:sz w:val="20"/>
        </w:rPr>
        <w:t>The U.S. government could choose to exercise certain rights in technology developed under government-funded research, which could eliminate our exclusive use of such technology or require us to commercialize our product candidates in a way we consider sub-optimal</w:t>
      </w:r>
      <w:r>
        <w:rPr>
          <w:rFonts w:ascii="Times New Roman" w:hAnsi="Times New Roman"/>
          <w:color w:val="000000"/>
          <w:sz w:val="20"/>
        </w:rPr>
        <w:t>” in the section titled “Risk Factors” in Part I, Item 1A in this Annual Report on Form 10-K.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 maintain such trade secrets and other proprietary information, we rely in part on confidentiality agreements with our employees, consultants, contractors, outside scientific collaborators and other advisors.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protect our brand through trademark rights. As of December 31, 2025, we are the listed owner of the U.S. registered trademark, NKARTA, and 15 related foreign registered trademarks. In addition, we have pending U.S. trademark applications for NKSTIM and NTRUST. In order to supplement the protection of our brand, we also have registered internet domain names.</w:t>
      </w:r>
    </w:p>
    <w:p>
      <w:pPr>
        <w:pStyle w:val="TextBody"/>
        <w:bidi w:val="0"/>
        <w:spacing w:before="360" w:after="283"/>
        <w:jc w:val="left"/>
        <w:rPr>
          <w:rFonts w:ascii="Times New Roman" w:hAnsi="Times New Roman"/>
          <w:b/>
          <w:color w:val="000000"/>
          <w:sz w:val="24"/>
        </w:rPr>
      </w:pPr>
      <w:r>
        <w:rPr>
          <w:rFonts w:ascii="Times New Roman" w:hAnsi="Times New Roman"/>
          <w:b/>
          <w:color w:val="000000"/>
          <w:sz w:val="24"/>
        </w:rPr>
        <w:t>Government Regulation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FDA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FDA regulates investigational drugs, including biological products, under the Federal Food, Drug, and Cosmetic Act ("FDCA") and its implementing regulations. Marketing authorization of a biological product via a biologics license application ("BLA") occurs under section 351 of the Public Health Service Act ("PHSA"). The steps required before a product candidate may be approved for marketing in the United States generally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laboratory tests and animal tests conducted under Good Laboratory Practices;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submission to the FDA of an IND for human clinical testing, which must become effective before human clinical trials commence;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 by an independent institutional review board ("IRB") representing each clinical site before each clinical trial may be initiated;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 and well-controlled human clinical trials to establish the safety and efficacy of the product for each indication and conducted in accordance with Good Clinical Practices ("GCP");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and submission to the FDA of a BLA;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 acceptance, review and approval of the BLA, which might include an advisory committee review;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satisfactory completion of an FDA inspection of the manufacturing facilities at which the product, or components thereof, are made to assess compliance with cGMPs and in the case of cell-based advanced therapy, additionally, current Good Tissue Practices.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testing and approval process typically requires many years and substantial effort and financial resources, and the receipt and timing of any approval is uncertain. The actual time required may vary substantially based upon the type, complexity, and novelty of the product or disease, along with events outside our control, such as reductions in the FDA’s budget, employees and operations. For example, the FDA has, at times, taken longer than its usual 30-day window to complete its review of certain first-of kind INDs. In addition, the FDA may suspend clinical trials at any time on various grounds, including a finding that the subjects or patients are being exposed to an unreasonable and significant health risk.</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Preclinical and Human Clinical Trials in Support of a BLA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Preclinical studies generally include laboratory evaluations of product chemistry, formulation, and toxicity, as well as animal studies to assess the potential safety and bioactivity of the product candidate. The results of the preclinical studies, together with manufacturing information and analytical data, among other things, are submitted to the FDA as part of the IND, which must become effective before clinical trials may be commenced. The IND will typically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If outstanding concerns cannot be resolved, the FDA will place the clinical trial, or a portion of it, on clinical hold. The FDA may also initiate a full or partial clinical hold after the 30 days if, for example, significant public health risks arise during the trial, if FDA believes the study is not being conducted in accordance with FDA regulations, or if results from additional preclinical studies are required by the FDA to evaluate the potential risk and benefit to patients for such a trial. Clinical holds may be temporary or permanent.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involve the administration of the product candidate to human subjects under the supervision of qualified investigators in accordance with federal regulations, in compliance with GCP requirements, and in accordance with a protocol submitted to FDA as part of the IND detailing the objectives of the trial, the parameters used to monitor safety, and the effectiveness criteria, if any, to be evaluated. Each clinical trial and informed consent information must also be reviewed and approved by an independent IRB at each of the sites at which the trial will be conducted. The IRB will consider, among other things, ethical factors, the safety of human subjects and the possible liability of the institution. An IRB may also require the clinical trial at the site to be halted, either temporarily or permanently, for failure to comply with the IRB’s requirements, or may impose other conditions if it believes that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patients are subject to unacceptable risk. Additionally, an independent group of qualified experts organized by the clinical trial sponsor, often known as a Data Safety Monitoring Board ("DSMB") or committee, may oversee some clinical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trials to support BLAs for marketing approval are typically conducted in three sequential phases prior to approval, but the phases may overlap or be combined. These phases generally include the following:</w:t>
      </w:r>
    </w:p>
    <w:p>
      <w:pPr>
        <w:pStyle w:val="TextBody"/>
        <w:bidi w:val="0"/>
        <w:spacing w:before="240" w:after="283"/>
        <w:jc w:val="left"/>
        <w:rPr>
          <w:rFonts w:ascii="Times New Roman" w:hAnsi="Times New Roman"/>
          <w:sz w:val="20"/>
        </w:rPr>
      </w:pPr>
      <w:r>
        <w:rPr>
          <w:rFonts w:ascii="Times New Roman" w:hAnsi="Times New Roman"/>
          <w:b/>
          <w:color w:val="000000"/>
          <w:sz w:val="20"/>
        </w:rPr>
        <w:t>Phase 1.</w:t>
      </w:r>
      <w:r>
        <w:rPr>
          <w:rFonts w:ascii="Times New Roman" w:hAnsi="Times New Roman"/>
          <w:color w:val="000000"/>
          <w:sz w:val="20"/>
        </w:rPr>
        <w:t xml:space="preserve"> Phase 1 clinical trials represent the initial introduction of a product candidate into human subjects. In Phase 1 trials of cellular therapies, the product candidate is tested for safety, including adverse effects.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Phase 2. </w:t>
      </w:r>
      <w:r>
        <w:rPr>
          <w:rFonts w:ascii="Times New Roman" w:hAnsi="Times New Roman"/>
          <w:color w:val="000000"/>
          <w:sz w:val="20"/>
        </w:rPr>
        <w:t>Phase 2 clinical trials usually involve studies in a limited patient population to (i) evaluate the efficacy of the product candidate for specific indications, (ii) determine dosage tolerance and optimal dosage and (iii) identify possible adverse effects and safety risks.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Phase 3. </w:t>
      </w:r>
      <w:r>
        <w:rPr>
          <w:rFonts w:ascii="Times New Roman" w:hAnsi="Times New Roman"/>
          <w:color w:val="000000"/>
          <w:sz w:val="20"/>
        </w:rPr>
        <w:t>If a product candidate is found to be potentially effective and to have an acceptable safety profile in Phase 2 clinical trials, the clinical trial program will be expanded to Phase 3 clinical trials to further demonstrate clinical efficacy, optimal dosage and safety within a larger number of patients, typically at geographically dispersed clinical trial sites.</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Phase 4 (post-approval). </w:t>
      </w:r>
      <w:r>
        <w:rPr>
          <w:rFonts w:ascii="Times New Roman" w:hAnsi="Times New Roman"/>
          <w:color w:val="000000"/>
          <w:sz w:val="20"/>
        </w:rPr>
        <w:t>Phase 4 clinical trials may be conducted after approval to gain additional experience from the treatment of patients in the intended therapeutic indication and to document a clinical benefit in the case of drugs approved under accelerated approval regulations, or when otherwise requested by the FDA (post-approval commitments) or required by the FDA (post-approval requirements). Failure to promptly conduct any required Phase 4 clinical trials could result in enforcement action or withdrawal of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pivotal trial is a clinical trial that is designed to meet regulatory requirements to demonstrate a product candidate’s safety and efficacy to support the approval of the drug or biologic. Generally, pivotal trials are Phase 3 trials, but the FDA may accept results from any phase clinical trial if the design provides a well-controlled and reliable assessment of clinical benefit, particularly in situations in which there is an unmet medical need and the results are sufficiently robust.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Submission and Review of a BLA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preclinical studies and clinical trials, together with detailed information on the product’s manufacture, composition, quality, controls and proposed labeling, among other things, are submitted to the FDA in the form of a BLA, requesting approval to market the product. The cost of preparing and submitting a BLA is substantial and requires payment of a significant user fee to the FDA. The FDA has 60 days from its receipt of a BLA to determine whether the application will be accepted for filing based on the FDA’s determination that it is adequately organized and sufficiently complete to permit substantive review. The FDA has substantial discretion in the approval process and may refuse to accept an application or decide that the data are insufficient for approval and require additional preclinical, clinical or other studies.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a BLA has been accepted for filing, the FDA sets a user fee goal date that informs the applicant of the specific date by which the FDA intends to complete its review, which is typically ten months from the date that the FDA accepts the BLA for filing for standard review BLAs. Applications classified as priority review are reviewed within six months of the date the FDA accepts the BLA for filing. A BLA can be classified for priority review when the FDA determines the biologic product has the potential to treat a serious or life-threatening condition and, if approved, would be a significant improvement in safety or effectiveness compared to available therapies. The review process can be extended by FDA requests for additional information or clarification. The FDA reviews BLAs to determine, among other things, whether the proposed product is safe and effective for its intended use, whether the product is being manufactured in accordance with cGMP to assure and preserve the product’s identity, strength, quality and purity, and whether the sponsor and clinical trial sites comply with GCP. The FDA may also refer applications for novel biologic products, or biologic products that present difficult questions of safety or efficacy, to be reviewed by an advisory committee—typically a panel that includes clinicians, statisticians and other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experts—for review, evaluation, and a recommendation as to whether the BLA should be approved. The FDA is not bound by the recommendation of an advisory committee, but generally follows such recommendations.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FDA will provide a preliminary determination as to whether a REMS is necessary to assure the safe use of the product prior to the BLA, but a final decision will be made during the approval process. If the FDA concludes a REMS is needed, the sponsor of the application must submit a proposed REMS, and the FDA will not approve the application without an approved REMS, if required. A REMS can include medication guides, communication plans for healthcare professionals, and elements to assure a product’s safe use, such as special training or certification for prescribing or dispensing the product, dispensing the product only under certain circumstances, special monitoring, and the use of patient-specific registries. A REMS can substantially increase the costs of obtaining approval. The FDA could also require a special warning, known as a boxed warning, to be included in the product labeling in order to highlight a particular safety risk. The FDA may require substantial post-marketing testing and surveillance to monitor safety or efficacy of a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the basis of the FDA’s evaluation of the BLA and accompanying information, including the results of the inspection of the manufacturing facilities, the FDA will issue either an approval of the BLA or a Complete Response Letter, detailing the deficiencies in the submission and the additional testing or information required for reconsideration of the application. The FDA typically reviews resubmissions within two or six months, depending on the type of information included. Even with submission of this additional information, the FDA may ultimately decide that the application does not satisfy the regulatory criteria for approval. If, or when, those deficiencies have been addressed to the FDA’s satisfaction in a resubmission of the BLA, the FDA will issue an approval letter. An approval letter authorizes commercial marketing and distribution of the biologic with specific prescribing information for specific indications.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granted, product approvals may need be withdrawn if compliance with regulatory standards is not maintained or problems are identified following initial marketing. Changes to some of the conditions established in an approved BLA, including changes in indications, product labeling, manufacturing processes or facilities, require submission and FDA approval of a new BLA or BLA supplement before the change can be implemented. A BLA supplement for a new indication typically requires clinical data similar to that in the original application, and the FDA follows the same procedures, including timelines, and actions in reviewing BLA supplements as it does in reviewing BLAs.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Expedited Approval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sponsor may seek approval of its drug candidate under programs designed to accelerate FDA’s review of INDs and BLA. For example, the FDA may grant fast track designation ("FTD") to a drug intended for treatment of a serious or life-threatening disease or condition that has potential to address unmet medical needs for the disease or condition. The key benefits of FTD are the eligibility for priority review, rolling review (submission of portions of an application before the complete marketing application is submitted) and accelerated approval, if the application meets relevant criteria.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 sponsor may seek a FDA IND designation of its drug candidate as a breakthrough therapy if the drug can, alone or in combination with one or more other drugs,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breakthrough therapy designation ("BTD") allows companies to work earlier, more closely, and frequently with the FDA, and they may be eligible for priority review and accelerated approval. The sponsor of a new biologic product candidate may request that the FDA designate the candidate for a specific indication as a breakthrough therapy concurrent with, or after, the submission of the IND for the biologic product candidate. The FDA must determine if the biological product qualifies for BTD within 60 days of receipt of the sponsor’s request.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Cell-based advanced therapies intended to treat, modify, reverse or cure a serious medical condition can receive regenerative medicine advanced therapy ("RMAT") designation from the FDA once preliminary clinical evidence has been obtained demonstrating the therapy has the potential to address unmet medical needs for the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condition. Similar to BTD, the RMAT allows companies developing regenerative medicine therapies to work earlier, more closely, and frequently with the FDA, and RMAT designated products may be eligible for priority review and accelerated approval. Interaction and communication between the FDA and the sponsor of the trial can help to identify the most efficient path for clinical development while minimizing the number of patients placed in ineffective control regimens. The timing of a sponsor’s request for designation and FDA response are the same as for the breakthrough therapy designation program.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Special Protocol Assessment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company may reach an agreement with the FDA under the Special Protocol Assessment ("SPA") process as to the required design and size of clinical trials intended to form the primary basis of an efficacy claim. Under the FDCA and FDA guidance implementing the statutory requirement, an SPA is generally binding upon the FDA except in limited circumstances, such as if the FDA identifies a substantial scientific issue essential to determining safety or efficacy after the clinical trial begins, public health concerns emerge that were unrecognized at the time of the protocol assessment, the sponsor and the FDA agree to the change in writing, or if the clinical trial sponsor fails to follow the protocol that was agreed upon with the FDA.</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Disclosure of Clinical Trial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Sponsors of clinical trials of FDA-regulated products, including biological products, are required to register and disclose certain clinical trial information on the website www.clintrials.gov. Information related to the product, patient population, phase of investigation, trial sites and investigators, and other aspects of a clinical trial are then made public as part of the registration. Sponsors are also obligated to disclose the results of their clinical trials after completion. Disclosure of the results of clinical trials can be delayed in certain circumstances for up to two years after the date of completion of the trial. The U.S. National Institutes of Health’s ("NIH") Final Rule on ClinicalTrials.gov registration and reporting requirements became effective in 2017, and both NIH and FDA have signaled the government’s willingness to begin enforcing those requirements against non-compliant clinical trial sponsors, which can give rise to civil monetary penalties and also prevent the non-compliant party from received future grant funds from the federal government.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Orphan Drugs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Orphan Drug Act, the FDA may grant orphan designation to a drug intended to treat a rare disease or condition affecting fewer than 200,000 individuals in the United States, or in other limited cases. Orphan drug designation ("ODD") must be requested before submitting a BLA. If the FDA grants ODD, the identity of the biological product and its potential orphan disease use are disclosed publicly by the FDA. ODD does not convey any advantage in or shorten the duration of the regulatory review and approval process, though companies developing orphan drugs may be eligible for certain incentives, including tax credits for qualified clinical testing. In addition, a BLA for a product that has received ODD is not subject to a prescription drug user fee unless the application includes an indication other than the rare disease or condition for which the drug was designated. In December 2021, we announced that the FDA granted ODD to our product candidate NKX101 for treatment of acute myeloid leukemia. Generally, if a product that has ODD subsequently receives the first FDA approval for the disease or condition for which it has such designation, the product is entitled to orphan drug exclusivity, which means that the FDA may not approve any other applications to market the same active moiety for the same indication for seven years, except in limited circumstances, such as another drug’s showing of clinical superiority over the drug with orphan exclusivity. A product can be considered clinically superior if it is safer, more effective or makes a major contribution to patient care.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Additional Controls for Biologics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help reduce the increased risk of the introduction of adventitious agents, the PHSA emphasizes the importance of manufacturing controls for products whose attributes cannot be precisely defined. The PHSA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As with drugs, after approval of a BLA, biologics manufacturers must address any safety issues that arise, are subject to recalls or a halt in manufacturing, and are subject to periodic inspection after approval.</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Biosimilars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Biologics Price Competition and Innovation Act of 2009 ("BPCIA") creates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Health and Human Services waives a required element. A biosimilar product may be deemed interchangeable with a previously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To date, a small number of biosimilar products and no interchangeable products have been approved under the BPCIA. Complexities associated with the larger, and often more complex, structures of biological products, as well as the process by which such products are manufactured, pose significant hurdles to biosimilar product implementation, which is still being evaluated by the FDA.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reference biologic is granted 12 years of exclusivity from the time of first licensure, or BLA approval, of the reference product, and no application for a biosimilar can be submitted for four years from the date of licensure of the reference product. The first biologic product submitted under the biosimilar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Post-Approval Requirements or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Approved drugs and biologics that are manufactured or distributed in the United States pursuant to FDA approvals are subject to pervasive and continuing regulation by the FDA, including, among other things, requirements relating to recordkeeping, periodic reporting, adverse event reporting, product sampling and distribution, advertising and promotion including standards and regulations for direct-to-consumer advertising, off label promotion, industry-sponsored scientific and educational activities and promotional activities involving the Internet. The FDA may also impose a number of post-approval requirements or commitments as a condition of approval of a BLA.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 party manufacturers that the sponsor may decide to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an approval is granted, the FDA may issue enforcement letters or product approvals may need to be withdrawn if compliance with regulatory requirements and standards is not maintained or if problems occur after the product reaches the market, which could delay product distribution. Later discovery of previously unknown problems with a product, including adverse events of unanticipated severity or frequency, or with manufacturing processes, or failure to comply with regulatory requirements, may result in, among other things, revisions to the approved labeling to add new safety information, imposition of post-market studies or clinical trials to assess new safety risks or imposition of distribution or other restrictions under a REMS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products that are placed on the market. Drugs may be promoted only for the approved indications and in accordance with the provisions of the approved labeling.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Foreign Regulation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market any product outside of the United States, we would need to comply with numerous and varying regulatory requirements of other countries and jurisdictions regarding quality, safety and efficacy and governing, among other things, clinical trials,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United States apply similarly in the context of the European Union and other geographies, the approval process varies between countries and jurisdictions and can involve additional product testing and additional administrative review periods. The time required to obtain approval in other countries and jurisdictions might differ from and be longer than that required to obtain FDA approval. Regulatory approval in one country or jurisdiction does not ensure regulatory approval in another, but a failure or delay in obtaining regulatory approval in one country or jurisdiction may negatively impact the regulatory process in others.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Coverage, Reimbursement and Pricing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and foreign markets, sales of any products for which we receive regulatory approval for commercial sale will depend, in part, on the availability of coverage and the adequacy of reimbursement from third-party payors. Third-party payors include government authorities and private entities, such as managed care organizations, private health insurers and other organizations. The process for determining whether a third-party payor will provide coverage for a product may be separate from the process for setting the reimbursement rate that the payor will pay for the product. Third-party payors may limit coverage to specific products on an approved list, or formulary, which might not include all of the FDA-approved products for a particular indication. Moreover, a third-party payor’s decision to provide coverage for a product does not imply that an adequate reimbursement rate will be approved. For example, the payor’s reimbursement payment rate may not be adequate or may require co-payments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that patients find unacceptably high. Additionally, coverage and reimbursement for products can differ significantly from payor to payor. Adequate third-party reimbursement may not be available to enable us to maintain price levels sufficient to realize an appropriate return on our investment in product development. Further, some third-party payors may require pre-approval of coverage for new or innovative devices or drug therapies before they provide reimbursement for use of such therapies.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payors are increasingly challenging the price and examining the medical necessity and cost-effectiveness of products and services, in addition to their safety and efficacy. To obtain coverage and reimbursement for any product that might be approved for sale, we may need to conduct expensive pharmaco-economic studies to demonstrate the medical necessity and cost-effectiveness of our product. These studies will be in addition to the studies required to obtain regulatory approvals.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Even if we attain favorable coverage and reimbursement status for one or more products for which we receive regulatory approval, less favorable coverage policies and reimbursement rates may be implemented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U.S. and foreign governments regularly consider reform measures that affect healthcare coverage and costs. The focus on cost containment measures, particularly in the United States, has increased and we expect will continue to increase the pressure on pharmaceutical pricing. For example, the U.S. and state legislatures have shown significant interest in implementing cost containment programs to limit the growth of government-paid health care costs, including price controls, restrictions on reimbursement and requirements for substitution of generic products for branded prescription products. The Patient Protection and Affordable Care Act, as amended by the Health Care and Education Reconciliation Act (collectively, the "ACA") contains provisions that may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The Centers for Medicare and Medicaid Services ("CMS") may develop new payment and delivery models, such as bundled payment models. Adoption of government controls and measures, and tightening of restrictive policies in jurisdictions with existing controls and measures, could limit payments for our products. Due to general uncertainty in the current regulatory and healthcare policy environment, and specifically regarding positions that the new Presidential administration may take with respect to these issues, we are unable to predict the impact of any legislative, regulatory, third-party payer or policy actions, including potential cost containment and healthcare reform measures.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European Union Coverage Reimbursement and Pricing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European Union, pricing and reimbursement schemes vary widely from country to country. Some countries provide that drug products may be marketed only after a reimbursement price has been agreed. Some countries may require the completion of additional studies that compare the cost effectiveness of a particular drug candidate to currently available therapies in order to obtain reimbursement or pricing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the European Union provides options for its member states to restrict the range of drug products for which their national health insurance systems provide reimbursement and to control the prices of medicinal products for human use. European Union member states may approve a specific price for a drug product or may instead adopt a system of direct or indirect controls on the profitability of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Laws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Physicians, other healthcare providers, and third-party payors will play a primary role in the recommendation and prescription of any product candidates for which we obtain marketing approval. Our arrangements with healthcare professionals, principal investigators, consultants, customers and third-party payors are and will be subject to various federal, state and foreign fraud and abuse laws and other healthcare laws and regulations. The U.S. federal and state healthcare laws and regulations that may affect our ability to operate include, without limitation, the following: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persons from, among other things, knowingly and willfully soliciting, receiving, offering or paying remuneration, directly or indirectly, in cash or in kind, to induce or reward either the referral of an individual for, or the purchase, order or recommendation of, any good or service, for which payment may be made under federally funded healthcare programs, such as Medicare and Medicaid. The term “remuneration” has been broadly interpreted to include anything of value;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civil and criminal false claims laws, including, without limitation, the federal civil monetary penalties law and the civil False Claims Act (which can be enforced by private citizens through qui tam actions), prohibit individuals or entities from, among other things, knowingly presenting, or causing to be presented, false or fraudulent claims for payment of federal funds, and knowingly making, or causing to be made, a false record or statement material to a false or fraudulent claim to avoid, decrease or conceal an obligation to pay money to the federal government;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("HIPAA") which creates federal criminal laws that prohibit, among other things, executing or attempting to execute a scheme to defraud any healthcare benefit program knowingly and willfully falsifying, concealing or covering up a material fact or making any materially false statement in connection with the delivery of or payment for healthcare benefits, items or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of 2009 and its implementing regulations, which imposes certain obligations, including mandatory contractual terms, with respect to safeguarding the privacy, security and transmission of individually identifiable health information without the appropriate authorization by entities subject to the law, such as certain healthcare providers, health plans and healthcare clearinghouses and their respective business associates who use, disclose, store or otherwise process HIPAA-protected health information on their behalf;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transparency requirements under the Physician Payments Sunshine Act, created under the ACA, which requires certain manufacturers of drugs, devices, biologics and medical supplies reimbursed under Medicare, Medicaid or the Children’s Health Insurance Program ("CHIP") to report to the Department of Health and Human Services ("HHS") information related to payments and other transfers of value provided to physicians and teaching hospitals and physician ownership and investment interests;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laws and regulations, such as state anti-kickback and false claims laws, that impose similar restrictions and may apply to items or services reimbursed by non-governmental third-party payors, including private insurers;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and local laws requiring the registration of pharmaceutical sales representatives;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health information privacy and data breach notification laws, such as the California Consumer Privacy Act and the California Privacy Rights Act, which govern the collection, use, disclosure and protection of health-related and other personal information, many of which differ from each other in significant ways and often are not pre-empted by HIPAA, thus complicating compliance efforts;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unfair and deceptive trade practices statutes, pursuant to which significant statutory fines and penalties can be imposed against pharmaceutical companies alleged to have engaged in consumer fraud.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Recent healthcare reform legislation has strengthened these federal and state healthcare laws. For example, the ACA amends the intent requirement of the federal Anti-Kickback Statute and criminal healthcare fraud statutes to clarify that liability under these statutes does not require a person or entity to have actual knowledge of the statutes or a specific intent to violate them. Moreover, the ACA provides that the government may assert that a claim that includes items or services resulting from a violation of the federal Anti-Kickback Statute constitutes a false or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fraudulent claim for purposes of the civil False Claims Act. Government regulators have been very active in the last several years in revising existing regulations and promulgating new regulations, as well as bringing enforcement actions based on these regulations, however it is unclear how and to what extent any challenges and/or reform measures by the new Presidential administration will impact the ACA and our business. Because of the breadth of these laws and the narrowness of the statutory exceptions and safe harbors available, it is possible that some of our business activities could be subject to challenge under one or more of such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found to be in violation of these laws, we may be subject to criminal, civil and administrative sanctions including monetary penalties, damages, fines, disgorgement, individual imprisonment, exclusion from participation in government funded healthcare programs, such as Medicare and Medicaid, additional reporting requirements and oversight if we become subject to a corporate integrity agreement or similar agreement to resolve allegations of noncompliance with these laws, and reputational harm, in which case we may be required to curtail or restructure our operations. Moreover, we expect that there will continue to be federal and state laws and regulations, proposed and implemented, that could impact our future operations and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Reform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nondeductible fee on any entity that manufactures or imports certain branded prescription drug agents or biologic agents, which is apportioned among these entities according to their market share in certain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in the rebates a manufacturer must pay under the Medicaid Drug Rebate Program to 23.1% and 13% of the average manufacturer price for branded and generic drugs,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Medicare Part D coverage gap discount program, in which manufacturers must agree to offer 70% point-of-sale discounts to negotiated prices of applicable brand drugs to eligible beneficiaries during their coverage gap period, as a condition for the manufacturer’s outpatient drugs to be covered under Medicare Part 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extension of manufacturers’ Medicaid rebate liability to covered drugs dispensed to individuals who are enrolled in Medicaid managed care organizations, unless the drug is subject to discounts under the 340B drug discount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methodology by which rebates owed by manufacturers under the Medicaid Drug Rebate Program are calculated for drugs that are inhaled, infused, instilled, implanted or injected;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the entities eligible for discounts under the Public Health Service pharmaceutical pricing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requirements under the federal Physician Payments Sunshine Act for drug manufacturers to report information related to payments and other transfers of value made to physicians and teaching hospitals as well as ownership or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Patient-Centered Outcomes Research Institute to oversee, identify priorities in, and conduct, comparative clinical effectiveness research, along with funding for such research;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creation of the Independent Payment Advisory Board, which, if and when impaneled, will have authority to recommend certain changes to the Medicare program that could result in reduced payments for prescription drugs;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 Center for Medicare and Medicaid Innovation at CMS to test innovative payment and service delivery models to lower Medicare and Medicaid spending, potentially including prescription drug spending.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its enactment, there have been legislative, judicial, and executive challenges to certain aspects of the ACA, including efforts to repeal or replace all or part of the ACA. Although such attempts to reform the U.S. healthcare system have not significantly impacted our business to date, challenges to the ACA are ongoing and it is unclear how other efforts, if any, to challenge, repeal or replace the ACA, and other healthcare reform measures, will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federal health reform measures have been proposed and adopted in the United States since the ACA was enacted. These have, among other things, reduced Medicare payments to several types of providers, including hospitals, imaging centers and cancer treatment centers, and increased the statute of limitations period for the government to recover overpayments to providers. These new laws or any other similar laws introduced in the future may result in additional reductions in Medicare and other health care funding, which could negatively affect our customers and accordingly, our financial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also been a number of proposals in the United States, at both the federal and state level,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For example, certain states, including California, have implemented state-level cost containment strategies, which could adversely impact adoption of higher-cost medicines that are new to the market.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Most significantly, in August 2022, the Inflation Reduction Act of 2022 ("IRA") was signed into law which introduced substantial changes to drug pricing, reimbursement and access support in the United States, including enabling the CMS to assert control over the prices of certain single-source drugs and biotherapeutics reimbursed under Medicare Part B and Part D. The IRA also imposes additional rebates for certain Medicare Part B and Part D drugs where relevant pricing metrics associated with the products increase faster than inflation. The effect of the IRA on our business and the healthcare industry in general is not yet known, but we continue to evaluate its potential impact. 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what initiatives may be adopted in the future. Due to general uncertainty in the current regulatory and healthcare policy environment, and specifically regarding positions that the new Presidential administration may take with respect to these issues, we are unable to predict the impact of any legislative, regulatory, third-party payer or policy actions, including potential cost containment and healthcare reform measures. Further federal, state, and regional developments are likely, and we expect ongoing initiatives to increase pressure on drug pricing. These changes may adversely impact the prices we or our future collaborators may charge for our products candidates, if commercialized.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Additional Regulation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foreign countries that impose similar obligations. We may also be subject to climate-related disclosure obligations, either at the federal or state level, including, for example, bills enacted in California in October 2023 which require corporations doing business in California to annually report their greenhouse gas emissions and disclose climate-related financial risks and risk mitigation strategies.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the Foreign Corrupt Practices Act (the "FCPA"), the U.S. domestic bribery statute contained in 18 U.S.C. §201, the U.S. Travel Act, the USA PATRIOT Act, and possibly other state and national anti-bribery and anti-money laundering laws in countries in which we conduct activities. These anti-corruption laws prohibit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This could become relevant in the conduct of international clinical trials where the sites for such trials may be a government-owned hospital. Activities that violate the FCPA, even if they occur wholly outside the United States, can result in criminal and civil fines, imprisonment, disgorgement, oversight and debarment from government contracts.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biopharmaceutical industry in general, and the cell therapy field in particular, is characterized by rapidly advancing and changing technologies, intense competition and a strong emphasis on intellectual property. Our product candidate, NKX019, if approved, may address multiple B-cell driven autoimmune diseases, including lupus nephritis, idiopathic inflammatory myositis, systemic sclerosis, ANCA-vasculitis and others. We face substantial and increasing competition from many different sources, including large and specialty biopharmaceutical companies, academic research institutions, governmental agencies and public and private research institutions. Competitors may compete with us in hiring scientific and management personnel, establishing clinical study sites, recruiting patients to participate in clinical trials, and acquiring technologies complementary to, or necessary for, our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large number of biopharmaceutical companies are applying their technology and development capabilities to the field of B-cell mediated autoimmune diseases. These companies are pursuing an array of distinct therapeutic approaches that vary by modality and target. Companies developing autologous cell therapies for autoimmune diseases which compete directly with NKX019 include but are not limited to AstraZeneca, Autolus, Bristol-Myers Squibb, Cabaletta, Cartesian, Gilead, iCell, Juventas, JW Therapeutics, Kyverna, Miltenyi, Novartis, Roche, Rui Therapeutics, and Synthekine. Companies developing allogeneic cell therapies intended to treat autoimmune diseases which compete directly with NKX019 include but are not limited to Adicet, Allogene, Artiva, Atara, CRISPR Therapeutics, Fate Therapeutics, TG Therapeutics, and Sana Biotechnology. A number of companies are seeking to harness the biology of immune cells through engagers designed to direct a patient’s own NK or T cells to eliminate B cells. Companies developing cell engagers which compete directly with NKX019 include Amgen, Candid, Cullinan, Dragonfly Therapeutics, GlaxoSmithKline, GT Biopharma, Innate Pharma, Merck, Ouro, Roche, Servier, Xencor, and Zenas. Lastly, a number of companies are developing therapeutic monoclonal antibodies that directly target surface proteins on B cells. Companies developing therapeutic monoclonal antibodies which compete directly with NKX019 include Amgen, Climb Bio, GlaxoSmithKline, Roche, and Zenas. Companies developing in vivo chimeric antigen receptor approaches targeting autoimmune diseases which compete directly with NKX019 include Abbvie, BMS, and Lilly.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of our current or potential competitors have significantly greater financial, technical and human resources, as well as more expertise in research and development, manufacturing, preclinical testing, conducting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clinical studies and trials and commercializing and marketing approved products, than us. Mergers and acquisitions in the biopharmaceutical industry may result in even greater resource concentration among a smaller number of competitors. Smaller or early-stage companies may also prove to be significant competitors, either alone or through collaborative arrangements with large and established companies.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The key competitive factors affecting the success of all of our programs are likely to be their efficacy, safety, convenience, price and degree of reimbursement.</w:t>
      </w:r>
    </w:p>
    <w:p>
      <w:pPr>
        <w:pStyle w:val="TextBody"/>
        <w:bidi w:val="0"/>
        <w:spacing w:before="360" w:after="283"/>
        <w:jc w:val="left"/>
        <w:rPr>
          <w:rFonts w:ascii="Times New Roman" w:hAnsi="Times New Roman"/>
          <w:sz w:val="20"/>
        </w:rPr>
      </w:pPr>
      <w:r>
        <w:rPr>
          <w:rFonts w:ascii="Times New Roman" w:hAnsi="Times New Roman"/>
          <w:b/>
          <w:color w:val="000000"/>
          <w:sz w:val="20"/>
        </w:rPr>
        <w:t>Human Capital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values – patient first, data driven, intellectually honest, transparent, diverse, inclusive, work/life balance, respectful, humble, creative, and ethical – are the foundations for our team and our behaviors for promoting creativity, innovation and productivity. As of December 31, 2025, we had 108 full-time employees, 28 of whom have advanced degrees including but not limited to Ph.D., M.D. and J.D. degrees. Of these full-time employees, 87 employees are engaged in research and development activities and 21 employees are engaged in finance, business development, human resources, operations and other general and administrative functions. We have no collective bargaining agreements with our employees and we have not experienced any work stoppages. We consider our relations with our employees to be good. However, in March 2025, we executed a reduction in workforce, which may negatively impact our relationship with our employees going forward.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a performance-based, inclusive work environment is critical for driving innovation and the development of new cell therapies. As part of our comprehensive approach to inclusion at Nkarta, we rely on data to identify gaps, set priorities and enable ongoing assessment of our progress against these principles. We foster an open and collaborative culture based on merit, where talented candidates are considered for opportunities based on their skills, abilities and performance.</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Compensation, Benefits and Well-being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strive to offer fair, market-competitive compensation and benefits that support our employees’ overall well-being. To ensure alignment with our short- and long-term objectives, our compensation programs for all employees include base pay, short-term incentives, and opportunities for long-term incentives. Our well-being and benefit programs focus on four key pillars: physical, emotional, financial and community. We offer a wide array of benefits including comprehensive health insurance, generous time-off and leave, and retirement and financial support.</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risk_factors"/>
      <w:bookmarkEnd w:id="3"/>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An investment in shares of our common stock involves a high degree of risk. You should carefully consider the following risk factors, as well as all of the other information contained in this Annual Report on Form 10-K,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Annual Report on Form 10-K also contains forward-looking statements and estimates that involve risks and uncertainties. Our actual results could differ materially from those anticipated in the forward-looking statements as a result of specific factors, including the risks and uncertainties described below.</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do not have any products approved for sale.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various product candidates, building our intellectual property portfolio, developing our supply chain and in-house manufacturing capability, conducting business planning, raising capital and providing general and administrative support for these operations. Consequently, we have limited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we expect to continue to incur significant losses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in 2015, we have incurred significant operating losses. Our net losses were $104.1 million and $108.8 million for the years ended December 31, 2025 and 2024, respectively. Our accumulated deficit was $648.3 million as of December 31, 2025. We expect to continue to incur increasing operating losses for the foreseeable future as we continue to develop NKX019 and any future product candidates. In addition,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the clinical development of NKX019, including in new indications, or restart the clinical development of any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scale up and optimization of manufacturing process and prepare for commercial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to clinical trials, including any product candidates that may be advanced under the collaboration with CRISPR Therapeutics AG ("CRISPR");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our current product candidates for additional disease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discover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qualify our own clinical- and commercial-scale current good manufacturing practice ("cGMP")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submit a biologics license application ("BLA") or marketing authorization application ("MAA") for NKX019 and/or seek marketing approvals for any of our other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of our product candidates in various jurisdictions for commercial sale;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costs associated with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or secure marketing, sales and distribution capabilities, either internally or with third parties, to support commercialization;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 our employee headcount to support the foregoing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never succeed in any or all of these activities and, even if we do, we may never generate revenues that are significant or large enough to achieve profitability.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never generated revenue from product sales and may never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continue to incur significant research and development and other expenses related to ongoing operations and the development of NKX019. All of our product candidates, including NKX019, require substantial additional development time and resources before we would be able to apply for or receive regulatory approvals and begin generating revenue from product sales. Neither the United States Food and Drug Administration ("FDA") nor any other regulatory authority has approved NKX019 or any other product candidates of ours, and we do not anticipate generating revenues from product sales unless and until such time as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and obtaining regulatory approvals for product candidates for which we successfully complete positive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product candidates, by establishing a commercial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qualifying for adequate coverage and reimbursement by government and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maintaining and enhancing a sustainable, scalable, reproducible and transferable manufacturing process for each of our cell therapy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supply and manufacturing relationships with third parties that can provide adequate products and services, in both amount and quality, to support clinical development and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a viable clinical 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implementing additional internal systems and infrastructure, as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and expanding our portfolio of intellectual property rights, including patents, trade secrets, know-how, and trademarks;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avoiding and defending against third-party interference or infringement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financed our operations primarily through private placements of our preferred stock, proceeds from our previous collaboration with GlaxoSmithKline, proceeds from our initial public offering ("IPO") completed in July 2020, proceeds from our "at the market" equity offering program (the "ATM Offering Program"), and proceeds from both our underwritten public offering of our common stock completed in April 2022 and our underwritten public offering of our common stock and pre-funded warrants completed in March 2024 (collectively, the "Secondary Offerings"). We estimate that we used the proceeds of our IPO primarily to advance our product candidates through preclinical studies and clinical trial programs, the construction of our manufacturing facility, and for working capital and general corporate purposes, and that we have and will continue to use the proceeds from our Secondary Offerings and ATM Offering Program to, among other uses, advance NKX019 further in clinical development. However, developing pharmaceutical products and conducting preclinical studies and clinical trials is expensive. Advancing NKX019 or any other product candidate into pivotal trials will require us to raise additional capital. As of December 31, 2025, we had cash, cash equivalents, restricted cash, and investments of $295.1 million. Our research and development expenses were $96.7 million for the year ended December 31, 2024 and $90.4 million for the year ended December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Until and unless we can generate substantial product revenue, we expect to finance our cash needs through the proceeds from our Secondary Offerings, a combination of equity offerings and debt financings, and potentially through additional license and development agreements or strategic partnerships with third parties. Financing may not be available in sufficient amounts or on reasonable terms. In addition, market volatility resulting from international conflict, global economic developments, political unrest, high inflation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Attempting to secure additional financing may also divert our management from our day-to-day activities, which may impair or delay our ability to develop our product candidates. In addition, demands on our cash resources may change as a result of many factors, including those currently unknown to us including, but not limited to, delays or undesired outcomes from our cost-containment efforts, such as those related to our cap on future headcount growth, centralizing our operations to a single location, or subleasing portions of our leased corporate office space in South San Francisco, and any unforeseen costs we may incur as a result of preclinical study or clinical trial delays, and we may need to seek additional funds sooner than planned as a result.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undertake additional cost-containment measures and/or significantly curtail or stop one or more of our research or development programs.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 of our long-lived assets could have a material adverse effect on our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U.S. generally accepted accounting principles ("U.S. GAAP"), we assess our long-lived assets, including property and equipment and lease right-of-use assets, for possible impairment whenever events or circumstances indicate that the carrying amount of such assets may not be recoverable. For example, during the quarter ended September 30, 2025, we identified indicators of impairment of our long-lived assets due to a sustained decline in the trading price of our common stock, resulting in our market capitalization being below its net asset value. As a result, we recorded an impairment charge during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changes in circumstances, many of which are outside of our control, or in the numerous variables associated with the assumptions and estimates used in assessing the appropriate valuation of our long-lived assets, could in the future result in additional impairment charges to our long-lived assets, which could materially adversely affect our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depends upon the success of our CAR NK-cell technology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on our ability to utilize our chimeric antigen receptor natural killer ("CAR NK") cell technology platform to generate product candidates, to obtain regulatory approval for product candidates derived from it, and to then commercialize our product candidates addressing one or more indications. We are enrolling patients in our Ntrust-1 clinical trial ("Ntrust-1"), a multi-center, open-label, dose-escalation Phase 1 clinical trial to evaluate NKX019, our lead CAR NK-cell product candidate, in patients with lupus nephritis ("LN") and primary membranous nephropathy ("pMN"). We are also enrolling patients in our Ntrust-2 clinical trial ("Ntrust-2"), a multi-center, open-label, dose-escalation Phase 1 clinical trial that will evaluate the safety and clinical activity of NKX019 in patients with systemic sclerosis ("scleroderma"), idiopathic inflammatory myopathy ("myositis"), and antineutrophil cytoplasmic antibody (ANCA)-associated vasculitis ("AAV"). Although both NKX019 and another product candidate have been in Phase 1 clinical trials for certain hematologic malignancies, we have stopped enrolling new patients in those clinical trials. Although we may explore our options for implementing certain changes in those programs, we cannot guarantee that we will pursue any further development of our product candidates for the treatment of hematologic malignancies in the near future or at all. All of our product candidates developed from our technology platform will require significant additional clinical and non-clinical development, review and approval by the FDA or other regulatory authorities in one or more jurisdictions, substantial investment, access to sufficient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NK-cell engineering technology.</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concentrated our research and development efforts on utilizing CAR NK cells as an immunotherapy for the treatment of certain diseases, initially cancers and, most recently, autoimmune diseases. To date, the FDA has not approved any cell-based therapies for commercial use for the treatment of an autoimmune diseases,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NK-cell platform product candidates are novel, and cell-based therapies are relatively new, especially as potential treatments for autoimmune diseases, regulatory agencies may lack precedents for evaluating product candidates like our CAR NK-cell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NK-cell platform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Use of CAR NK-cell therapies may not gain the acceptance of the public or the medical community, especially for the treatment of autoimmune diseases. The patients with autoimmune diseases that we are targeting with NKX019 are typically not at risk of near-term death, even if they may suffer life-threatening symptoms, so the patients will need to deem the benefits of cell therapy to be worth the risk of unknown potential adverse side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advancing novel immunotherapies creates significant challenges for us,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enrolling sufficient numbers of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training a sufficient number of medical personnel on how to administer lymphodepletion regimens and how to properly thaw and administer our cells;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training a sufficient number of medical and clinical laboratory personnel in the proper collection and handling of clinical samples in our clinical trials to enable a sufficient understanding of CAR NK-cell pharmacokinetics and pharmacodynamics for the design of an optimal dosing regimen;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educating medical personnel regarding the potential side-effect profile of our cells and, as the clinical program progresses, on observed side effects with the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 reliable and safe and an effective means of genetically modifying our cells;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and cryopreservation of our cells on a large scale and in a cost-effective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sourcing starting material suitable for clinical and commercial manufacturing;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and marketing capabilities, as well as developing a manufacturing process and distribution network to support the commercialization of any approved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must be able to overcome these challenges in order for us to develop, commercialize and manufacture our product candidates utilizing CAR NK cells.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patients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regulatory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clinical trial sites or contract research organizations ("CROs"), the terms of which can be subject to extensive negotiation and may vary significantly among different trial sites and CROs, including delays due to administrative hurdles, lack of significant prior experience with cell therapy for autoimmune diseases, or competition between cell therapy companies for prospective clinical trial sites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sufficient patients for our clinical trials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achieving a sufficient number of clinical trial sites or obtaining the required institutional review board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by us or by the FDA or other regulatory agencies based on emerging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long-term follow-up data due to patient drop out or in cases where patients elect to receive post-protocol treatment for their disease before it progresses;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termination of a clinical trial by the IRB of the institutions in which such trials are being conducted or by the Data Safety Monitoring Board ("DSMB") (where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sufficiently developing, characterizing, scaling up, optimizing or controlling a manufacturing process suitable for clinical trials, or production delays, shutdowns or setbacks at any of our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due to additional regulatory, site and clinical trial participant approvals required if a product candidate does not meet the required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or guidance that may require us to amend or submit new clinical protocols, or such requirements may not be as we anticipate;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or treatment landscape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insufficient quantities or inadequate quality of our product candidates or other materials necessary to conduct preclinical studies or clinical trials of our product candidates, including potential limitations to the availability of agents such as fludarabine ("Flu"), cyclophosphamide ("Cy"), or other agents administered to patients prior to treatment or in combination with our product candidates or delays in the manufacturing of product candidates due to scale up or improvements to our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enrolled patients in foreign countries to adhere to clinical protocol as a result of differences in healthcare services or cultural customs, or additional administrative burdens associated with foreign regulatory schemes;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in the operations of the FDA or other regulatory authorities, including government shutdowns, funding lapses, staffing shortages, changes in agency leadership or policy priorities, or increased regulatory workload, which could delay meetings, inspections, review of submissions, responses to inquiries or other regulatory actions necessary to advance our clinical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after initially studying NKX019 and a second product candidate, NKX101, in Phase 1 clinical trials for hematologic malignancies, we deprioritized development of the product candidates for the treatment of hematologic malignancies to focus our research and development activities on NKX019 for the treatment of autoimmune diseases. Following an interim evaluation of response data in our NKX101 clinical trial for the treatment of relapsed or refractory acute myeloid leukemia or higher risk myelodysplastic syndromes, we decided to deprioritize our NKX101 program. In November 2024, we announced clinical data from our NKX019 clinical trial in B-cell malignancies. The data came from a cohort of heavily pretreated patients with large B-cell lymphoma ("LBCL") whose disease had already progressed following treatment with a CD19 CAR T cell therapy. Based on these data and the highly competitive landscape for the treatment of B-cell malignancies, we have deprioritized the clinical development of NKX019 for the treatment of B-cell malignancies. We do not plan to enroll further patients in our clinical trials for hematologic malignancies, and we cannot guarantee that we will pursue any further development of NKX019 for the treatment of hematologic malignancies in the near future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Disruptions caused by or related to pandemics, epidemics, or outbreaks of infectious disease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a pandemic, epidemic, or outbreak of infectious disease then we may experience delays in obtaining periodic advice which may affect our ability to move our clinical programs forward into the next phase of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refusal to accept or rejection, of our marketing applications by the FDA or comparable foreign regulatory authority, as the case may be, and may ultimately lead to the denial of marketing approval of our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from time to time, such as for our Ntrust-1 clinical trial, establish partnerships in relation to our clinical trials, receiving advisory services and other support from third parties. For example, we continue to partner with Lupus Therapeutics, the clinical research affiliate of the Lupus Research Alliance, to accelerate development of NKX019 through select sites of the Lupus Clinical Investigators Network. We cannot guarantee that such collaborations will be successful and, in the event they are not, we may lose our competitive advantage and/or incur additional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FDA’s and other regulatory authorities’ policies with respect to clinical trials may change and additional government regulations may be enacted. For example, passed in December 2022, the Food and Drug Omnibus Reform Act ("FDORA") requires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If we are slow or unable to adapt to changes in existing requirements or the adoption of new requirements or policies governing clinical trials, our development plans may be impacted. In addition, actions by the new Presidential administration to limit federal agency budgets or personnel may result in reductions to the FDA’s budget, employees and operations, which may lead to slower responses times and longer review periods, potentially affecting our ability to progress development of our product candidates or obtain regulatory approval for our product candidates. Government shutdowns, funding lapses or significant staffing disruptions at the FDA or other regulatory authorities could similarly delay review of our submissions, scheduling of meetings or inspections, or other regulatory interactions necessary to advance our development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which would negatively impact our financial results, and slow down our product candidate development and approval process.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pStyle w:val="TextBody"/>
        <w:bidi w:val="0"/>
        <w:spacing w:before="240" w:after="283"/>
        <w:jc w:val="left"/>
        <w:rPr>
          <w:rFonts w:ascii="Times New Roman" w:hAnsi="Times New Roman"/>
          <w:sz w:val="20"/>
        </w:rPr>
      </w:pPr>
      <w:r>
        <w:rPr>
          <w:rFonts w:ascii="Times New Roman" w:hAnsi="Times New Roman"/>
          <w:color w:val="000000"/>
          <w:sz w:val="20"/>
        </w:rPr>
        <w:t>We cannot guarantee that NKX019 or any other product candidates, that we might develop,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NKX019 or any of our other product candidates will be successful in clinical trials or receive regulatory approval. In particular, while we have continued to build autoimmune development capabilities through operational experience and the recruitment of personnel with relevant expertise, our historical focus has been on NK-cell therapies for oncology, and the development of treatments for autoimmune diseases presents different scientific, clinical, regulatory and operational considerations. The FDA, and other comparable global regulatory authorities can delay, limit or deny approval of a product candidate for many reasons. For further details about such reasons, see “—</w:t>
      </w: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r>
        <w:rPr>
          <w:rFonts w:ascii="Times New Roman" w:hAnsi="Times New Roman"/>
          <w:color w:val="000000"/>
          <w:sz w:val="20"/>
        </w:rPr>
        <w:t>” Any delay in obtaining, or inability to obtain, applicable regulatory approval will delay or harm our ability to successfully commercialize NKX019 or any of our other product candidates and could materially adversely affect our business, financial condition, results of operations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NKX019 is in Phase 1 clinical development and subject to the risks inherent in drug development. In October 2023, we announced that we had received clearance of an Investigational New Drug ("IND") application by the FDA to evaluate NKX019 for the treatment of LN in our Ntrust-1 clinical trial, and in May 2025, we announced the addition of pMN as an indication to our Ntrust-1 clinical trial, which is a multi-center, open-label, dose-escalation Phase 1 clinical trial that evaluates the safety and clinical activity of NKX019 in patients with refractory LN. In June 2024, we announced we had received clearance of an IND by the FDA to evaluate NKX019 for the treatment of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scleroderma, myositis, and AAV in our Ntrust-2 clinical trial, which is a multi-center, open-label, dose-escalation Phase 1 clinical trial that evaluates the safety and clinical activity of NKX019 in patients with scleroderma, myositis, and AAV. In May 2025, we announced the modification of the lymphodepleting conditioning ("LD") prior to the administration of NKX019 in our Ntrust-1 and Ntrust-2 clinical trials to use a combination of Flu and Cy, with the option for patients with cytopenias to continue to receive Cy alone as modified LD. In November 2025, we announced that deep B-cell depletion was observed in all participants treated to date who received NKX019 with LD using Flu and Cy versus partial B-cell depletion in patients receiving only Cy. At the same time, we reported the implementation of a streamlined enrollment process that allows participant data from both the Ntrust-1 and Ntrust-2 clinical trials to be reviewed by a combined independent Data Safety Monitoring Board (“iDSMB”) to inform dose-escalation decisions. This update followed engagement with the FDA and authorization by the iDSMB to initiate enrollment in the second dose-escalation cohort.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no cell therapies licensed to date in the United States or elsewhere to treat autoimmune diseases and we have no prior experience in developing treatments for autoimmune diseases. We cannot guarantee that our development of NKX019 for the treatment of LN, pMN, scleroderma, myositis, or AAV will be successful. We may also choose to develop NKX019 for additional autoimmune or other indications, but we may not be able to advance NKX019 through the development process for any of these additional indications. Even if we receive regulatory approval to market NKX019 for the treatment of LN, pMN, scleroderma, myositis, AAV, or any additional indications, NKX019 for any of these indications may not be successfully commercialized, widely accepted in the marketplace or more effective than other commercially available alternatives. If we are unable to successfully develop and commercialize NKX019 for LN, pMN, scleroderma, myositis, AAV, or these additional autoimmune indications, our commercial opportunity will be limited, and our business, financial condition and growth prospects will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ongoing Phase 1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 Multiple commercially available therapeutic agents that target CD19, as well as others that are in various stages of development, are now being evaluated in clinical trials for the treatment of various autoimmune diseases including in the indications in which we are developing NKX019, thereby providing significant competition for clinical trial sites, investigators, and patients. The newness of cell therapy as a potential treatment for autoimmune patients at sites has also contributed to, and may continue to contribute to, delays in the initiation of clinical trial sites and in the enrollment of patients in our NKX019 autoimmune trials. We have had significant enrollment challenges and may continue to have significant enrollment challenges in our Ntrust-1 and Ntrust-2 clinical trials. We may also have enrollment challenges in our other autoimmune trials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NKX019 has also been studied in a Phase 1 clinical trial for the treatment of a variety of B-cell malignancies, which evaluates the safety, pharmacology, and preliminary anti-tumor activity of NKX019. In November 2024, we announced new clinical data from a cohort of heavily pretreated patients with LBCL whose disease had already progressed following treatment with a CD19 CAR T cell therapy. Based on these data and the highly competitive landscape for treatments of B-cell malignancies, we decided to focus our research and development activities on autoimmune disease and plan for no further investment in the clinical development of NKX019 for the treatment of B-cell malignancies.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second product candidate, NKX101, was also formerly studied in a Phase 1 clinical trial for the treatment of certain hematological malignancies. Following an interim evaluation of the clinical response data, we deprioritized the clinical development of NKX101 and plan for no further development of NKX101 at this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NKX019 is our most advanced product candidate, and because our other product candidates in clinical development in the future will be based on similar technology, if our current clinical trials of NKX019 or any future clinical trials of NKX019 experience any of the foregoing issues, our development plans for other product candidates in our pipeline could also be significantly impaired, which could materially adversely affect our business, financial condition, results of operations and growth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develop our product candidates as monotherapy or potentially as combination therapy with one or more currently approved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evaluate our product candidates in combination with one or more other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our allogeneic CD19-targeting CAR NK-cell product candidate NKX019 may have disease-modifying potential in autoimmune diseases, such as LN, the use of CD19-targeted CAR cell therapies, and, in particular, allogeneic CD19 CAR NK-cell therapies, represents a novel approach for the treatment of autoimmune diseases, and is supported by limited clinical data. To date, no cell therapies have been approved by the FDA for the treatment of autoimmune diseases. We cannot guarantee that Ntrust-1, our clinical trial for NKX019 in LN and pMN, Ntrust-2, our clinical trial for NKX019 in scleroderma, myositis, and AAV, or any other future clinical development of NKX019 for the treatment of autoimmune diseases will be successful. Our belief that NKX019 may be effective as a treatment for autoimmune diseases is based largely on our understanding of the mechanism behind the positive clinical data reported by certain academic groups and other companies studying CAR NK-cell therapies for the use of a CD19 CAR T-cell therapy in a limited number of patients with autoimmune diseases, as well as on our own in vitro studies showing that NKX019 can kill B-cells in peripheral blood mononuclear cells obtained from patients with autoimmune diseases and observations regarding the effect of NKX019 on B cells from our ongoing NKX019 Phase 1 clinical trial in patients with non-Hodgkin lymphoma ("NHL"). We have made certain assumptions regarding the mechanism of action responsible for the preliminary efficacy shown in the reported studies and how that mechanism of action and our own in vitro data and data from our NKX019 trial in NHL will translate to the response of patients with autoimmune diseases, such as LN, to NKX019, which may or may not be correct. We cannot know with any certainty whether NKX019 will be effective against B-cell mediated autoimmune diseases, or whether NKX019 will be competitive as a treatment for such indications against CD19 CAR T-cell therapies.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We also face competition from a large number of cell therapy companies who are also advancing development programs in autoimmune diseases, which may impact our ability to successfully develop and commercialize NKX019. For instance, competition among cell therapy companies for clinical trial sites, investigators, and/or patients for autoimmune clinical trials, may cause delays in the initiation of clinical trials sites and enrollment of patients in our clinical trials. For further details about such reasons, see “—</w:t>
      </w: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r>
        <w:rPr>
          <w:rFonts w:ascii="Times New Roman" w:hAnsi="Times New Roman"/>
          <w:color w:val="000000"/>
          <w:sz w:val="20"/>
        </w:rPr>
        <w:t>” and “—</w:t>
      </w: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r>
        <w:rPr>
          <w:rFonts w:ascii="Times New Roman" w:hAnsi="Times New Roman"/>
          <w:color w:val="000000"/>
          <w:sz w:val="20"/>
        </w:rPr>
        <w:t xml:space="preserve">.” The competition for clinical trial sites, investigators or patients may also lead to increased development costs. If NKX019 is shown to not be sufficiently effective against LN, pMN, scleroderma, myositis, AAV, or other B-cell mediated autoimmune diseases in clinical trials, we experience delays in our ability to advance NKX019 through clinical development for LN, pMN, scleroderma, myositis, AAV, or other B-cell mediated autoimmune diseases, or we are unable to successfully compete against other companies in the development and commercialization of NKX019, the commercial prospects of NKX019, as well as our business, financial condition and growth prospects, would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open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and eligibility criteria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resources at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referral practices of physicians, including as a result of their assessment of the clinical trial parameters;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changing medical practice patterns or guidelines related to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or approved therapies which present an attractive alternative to patients and their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including as a result of adverse effects observed in similar or competing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due to various reasons;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enrolled patients will drop out or die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failing to complete a clinical trial or returning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the requisite supply of our product candidates for our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any delay by us or by our clinical sites to obtain sufficient quantities of components and supplies necessary for the conduct of our clinical trials, including any inability to obtain agents such as Cy, Flu, or other agents administered to patients prior to treatment or in combination with our product candidates.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need to compete with many ongoing clinical trials and approved therapies to recruit patients into our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For example, due to the commercial availability of multiple therapeutic agents that target CD19 for the treatment of cancer, as well as others that are in various stages of development, we had significant difficulty in our now deprioritized Phase 1 NKX019 program for the treatment of B-cell malignancies enrolling patients who have not previously been exposed to a CD19-directed cellular therapy. We have also had, and may continue to have in the future, significant difficulty in enrolling patients in our Ntrust-1 clinical trial, and we may also have significant difficulty in enrolling patients in our Ntrust-2 clinical trial. A number of cell therapy companies and companies with other CD19-targeted therapeutics have initiated or announced initiation of plans for clinical trials for the treatment of B-cell mediated autoimmune diseases including in indications in which we are developing NKX019, which has resulted in increased competition, and may continue to increase competition in the future, for clinical trial sites and/or patients for our Ntrust-1 and Ntrust-2 clinical trials and any other NKX019 clinical trials that we may initiate in the future for the treatment of other B-cell mediated autoimmune diseases. With respect to our Ntrust-1 and Ntrust-2 clinical trials and any future NKX019 clinical trials of ours for the treatment of other B-cell mediated autoimmune diseases, the number of qualified clinical investigators is limited, so we are conducting, and may continue to conduct, some of our clinical trials at the same clinical trial sites that some of our competitors use, which reduces the number of patients who are available for our clinical trials at such clinical trial site.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challenges at clinical trial sites have also contributed to delays in site initiation and/or enrollment in our NKX019 autoimmune clinical trials, and may continue to contribute to delays in site initiation and/or enrollment in our NKX019 clinical trials for the treatment of autoimmune diseases in the future. For example, the administration of cell therapies to patients with autoimmune disease is new, and in some instances, sites may not yet be efficient in facilitating such clinical trials. Although we have taken steps to mitigate the enrollment challenges, if we are unable to enroll a sufficient number of patients in our clinical trials in a timely manner and any future clinical trials for the treatment of autoimmune diseases, our completion of clinical trials may be delayed or may not be achieved, which would prevent us from further developing or commercializing our product candidates in certain patient subpopulations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we evaluate our product candidate, we may decide to modify certain aspects of the clinical trial protocols. For example, in May 2025, we announced the modification of the LD prior to administration with NKX019 in our Ntrust-1 and Ntrust-2 clinical trials to use a combination of Flu and Cy, with the option for patients with cytopenias to continue to receive Cy alone as modified LD, and in November 2025, we announced the implementation of a streamlined enrollment process that enables participant data from both the Ntrust-1 and Ntrust-2 clinical trials to be reviewed by a combined iDSMB to inform dose-escalation decisions. The incorporation of these changes into both study protocols and implementation at clinical trial sites may take additional time and resources to implement, resulting in initial delays in enrollment. Specifically, in relation to the modification of the LD, physicians may exercise more caution when enrolling patients in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as the current administration continues to pursue cost-cutting measures, including reducing funding to academic research centers, the impact on industry-sponsored clinical research, as a result, and our business is currently unclear. A reduction of resources at these clinical sites also is likely to have an impact on patient enrollment as academic research centers decide how to allocate limited resources. If we are unable to enroll a sufficient number of patients in our clinical trials in a timely manner, our completion of clinical trials may be delayed or may not be achieved, which would prevent us from further developing or commercializing our product candidates in certain patient subpopulations or at all.</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The clinical development of our product candidates also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 For further details regarding risks related to the manufacture of our product candidates, see “Risks Related to Manufacturing” below, including “—</w:t>
      </w:r>
      <w:r>
        <w:rPr>
          <w:rFonts w:ascii="Times New Roman" w:hAnsi="Times New Roman"/>
          <w:i/>
          <w:color w:val="000000"/>
          <w:sz w:val="20"/>
        </w:rPr>
        <w:t xml:space="preserve">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 </w:t>
      </w:r>
      <w:r>
        <w:rPr>
          <w:rFonts w:ascii="Times New Roman" w:hAnsi="Times New Roman"/>
          <w:color w:val="000000"/>
          <w:sz w:val="20"/>
        </w:rPr>
        <w:t>The clinical development of our product candidates also depends on the availability of a sufficient supply of certain other materials and agents used in our clinical trials. For example, our clinical trial protocols require the use of Flu and/or Cy, agents which are routinely used in oncology studies, and which we use in certain of our clinical trial protocols to condition patients for treatment with our product candidates. Further, we may develop certain of our product candidates as a combination therapy with other therapies, which would require the availability and use of those therapeutic agents in certain of our clinical trial protocols. Any failure or delays by us or by our clinical sites to obtain sufficient quantities of our product candidates and other agents necessary for the conduct of our clinical trials, may delay our ability to enroll and treat patients in, or complete, our current or future clinical trials of our product candidates on time,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enroll a sufficient number of patients in our clinical trials in a timely manner, our completion of clinical trials may be delayed or may not be achieved, which would prevent us from further developing or commercializing our product candidates. In addition, any such delays could require us to incur additional costs as we work to identify potential patients to enroll and to continue the development of our product candidates generally, which would have a negative impact on our financial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CAR NK-cell therapy is a relatively new field. To date, no cell therapies of any type have been licensed for the treatment of autoimmune diseases. The history of manufacturing CAR NK cells for clinical use is limited. Our understanding of NK-cell biology is expanding, and this is particularly true in relation to autoimmune diseases where there is limited clinical data available and where we have no prior experience. If we find that our current manufacturing processes are inadequate, or should we identify opportunities for material improvement, adaptation of process improvements may require significant additional time and resources to complete. As studies utilizing NK-cell biology develop, new information may become available requiring us to change our product candidate. Process improvements or new clinical data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A requirement to run a new clinical trial or repeat a clinical trial would delay clinical development and commercialization of the relevant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Killer immunoglobulin-like receptor ("KIR") molecules are found on the surface of NK cells and recognizes certain Human Leukocyte Antigen ("HLA") types. If there is a match between certain KIR molecules and the HLA type, KIR acts as a natural inhibitor of NK cell activity, thereby serving to prevent immune reactions against an individual’s own cells. In our Phase 1 clinical trials, the product candidate is manufactured from unrelated donors and administered to recipients regardless of specific KIR phenotype (i.e. used “off-the-shelf”). As we continue our clinical trials, we may discover that retaining a KIR mismatch is required to achieve clinically meaningful activity, and we may need to factor KIR mismatch into the donor and product selection process for patients enrolled in our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Scaled manufacturing can broaden patient access to off-the-shelf product candidates without requiring additional donors. However, as our product candidates are not genetically modified to reduce naturally occurring cell surface antigens, potential patients may have antibodies against such antigens. We may choose to continue to diversify donor selection with the goal of ensuring we have suitable drug product for broad access. We also continue to analyze donor characteristics that correlate with clinical activity and we may decide to select for donors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enhance activity of our product candidates in the clinic. If it becomes apparent through future preclinical testing or clinical trials that donor selection is required for some or all patients, the production of NKX019 or our other product candidates as standardized, off-the-shelf products for all patients will not be achievable. Instead, we would need to establish an alternative approach for each of our product candidates to achieve coverage of the addressable patient population.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reengineering of our product candidates or change to the processes we use to manufacture or select our product candidates could require the redesign of our clinical protocols and clinical trials for our product candidates, compliance with additional regulatory requirements, significant additional time and resources to complete, and the participation of a significant number of additional clinical trial participants and donors, any of which would delay the clinical development of our product candidates and their eventual commercialization.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r>
        <w:rPr>
          <w:rFonts w:ascii="Times New Roman" w:hAnsi="Times New Roman"/>
          <w:b/>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may differ from, and may not be indicative of, future results of the same clinical trials, or different conclusions or considerations may qualify such topline results once additional data have been received and fully evaluated. For example, the preliminary results from our most recent cohort in our Phase 1 NKX019 clinical trial for the treatment of B-cell malignancies did not meet expectations. Based on these data and the highly competitive landscape for treatments of B-cell malignancies, in 2024 we decided to refocus our research and development activities on autoimmune diseases and deprioritized further development of NKX019 for the treatment of B-cell malignancies. Also, we deprioritized further development of another product candidate, NKX101, following an interim evaluation of the data from the most recent dose-expansion cohort of our NKX101 Phase 1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Undesirable side effects that may be caused by our product candidates could negatively affect patient recruitment and retention in our clinical trials, cause us or regulatory authorities to interrupt, delay or halt clinical trials, and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 We may also pause our clinical trials if patients exhibit adverse side effects, until such time as we can determine the cause of such side effects, which would delay our clinical trial timeline and the potential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Updated data from the dose-escalation portion of our NKX019 Phase 1 clinical trial in B-cell malignancies were reported in December 2022. The most common higher-grade (Grade ≥3) adverse events in the interim data reported for patients in the NKX019 Phase 1 clinical trial for B-cell malignancies were myelosuppression, which is common in the treated patient population after LD. In the dose-escalation phase of the NKX019 Phase 1 clinical trial, certain patients experienced adverse events including transient fevers and infusion-related reactions. Three patients in the NKX019 dose-escalation study were assessed to have cytokine release syndrome ("CRS"), despite the rapid onset and rapid resolution, not consistent with previously described presentations of CRS with CAR T-cell therapies. While the interim data reported to date from our NKX019 Phase 1 clinical trials indicate that NK cell-based therapies may be better-tolerated as compared to T-cell-based therapies due to biologic differences between these cell types, there can be no assurance that patients will not experience CRS, neurotoxicity, Graft-versus-host disease, or other serious adverse events associated with NKX019, any other product candidates we may advance in clinical studies in the future, or the LD administered to patients prior to administration of NKX019 or other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in some instances, the diseases we may be seeking to treat may be less serious than the later stage cancers traditionally being treated with cell therapies or other immunotherapy products. Therefore, we believe the FDA and other regulatory authorities likely will apply a different benefit-risk threshold such that any potential harmful side effects may outweigh the benefits of our product candidates and require us to cease clinical trials or deny approval of our product candidates. We believe tolerance for adverse events in the autoimmune patient populations being pursued with cell-based therapies, such as in the LN patients in our NKX019 clinical trial, will be lower than it is in oncology, and the risks of negative impact from these toxicities may therefore be higher for our autoimmune programs than for our deprioritized oncology programs or the oncology programs of others. Multiple companies are investigating the potential use of various other CD19-targeted therapeutic candidates, including other cell therapies, in clinical trials for the treatment of patients with autoimmune diseases, including in indications in which we are developing NKX019. If serious adverse events are reported from those clinical trials for these competing product candidates, patient recruitment and retention in our own clinical trials may be impacted, we may face additional scrutiny or restrictions from the FDA or other relevant regulatory entities, which could delay our clinical trial timeline and the potential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negatively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and commercialization of new cellular immunotherapy products is highly competitive. We face competition from existing and future competitors with respect to our product candidate, NKX019, and will face competition with respect to product candidates that we may seek to develop or commercialize in the future. A large number of biopharmaceutical companies and academic institutions are advancing development programs in B-cell mediated autoimmune diseases. The approaches of these development programs are numerous and diverse, and include cell therapies, T-cell engagers, NK-cell engagers and monoclonal antibodies. It is also possible that new competitors, including those developing similar product candidates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preclinical pipeline programs may experience delays or may never advance to clinical trials, which would adversely affect our ability to obtain regulatory approvals or commercialize these programs on a timely basis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obtain FDA or other regulatory authority approval to market a new biological product we must demonstrate safety, manufacturing comparability,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NKX019 is our only product candidate currently in clinical development. Since NKX101 and NKX070 have been deprioritized, all of our other active programs are currently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preclinical or other in vivo or in vitro data to support the initiation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acceptable clinical trial design or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not allowing us to rely on previous findings of safety and efficacy for other similar but approved products and published scientific literature.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into, and we may in the future enter into, research collaborations with third parties to develop or commercialize potential product candidates. Our prospects with respect to those product candidates will depend in significant part on the success of those collaborations, and we may not realize the benefits of such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2021, we entered into a Research Collaboration Agreement with CRISPR (as amended, the "CRISPR Agreement") to establish research plans for the purpose of collaboratively designing and advancing up to two allogeneic, gene-edited NK-cell therapies and one allogeneic, gene-edited NK+T-cell therapy for use in the treatment of autoimmune diseases, oncology, or infectious disease up to the filing of an application to a regulatory authority to request the ability to start a clinical trial. The first product candidate that was being developed in partnership with CRISPR was NKX070; however, effective September 2025, CRISPR exercised its right to opt-out of NKX070 pursuant to terms of the CRISPR Agreement. We retain a license to the initial collaboration product, subject to potential future milestone and royalty payments owed to CRISPR. The second product candidate being developed in partnership with CRISPR is NK+T. Both the NKX070 and NK+T programs have been deprioritized, however, to allow us to focus our resources on developing NKX019 for the treatment of B-cell mediated autoimmune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collaboration partners do not perform in the manner that we expect or fulfill their responsibilities in a timely manner or at all, the research, clinical development, regulatory approval and commercialization efforts related to the product candidates that are the subject of the collaboration could be delayed or terminated. 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Future collaboration agreements may have similar terms.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Whenever we enter into collaborations with third parties, we could face the following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and processes that compete directly or indirectly with our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enforce, maintain or defend our intellectual property rights or may use our proprietary information in a way that gives rise to actual or threatened litigation that could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jeopardize or invalidate our intellectual property or proprietary information or expose us to potential litigation, or other intellectual property proceedings;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present or future collaborator of ours were to be involved in a business combination, the continued pursuit and emphasis on our product development or commercialization program under such collaboration could be delayed, diminished or terminated;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restrict our right to independently pursue new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conflicts arise between our collaborators and us, including CRISPR, our collaborators may act in a manner adverse to us and could limit our ability to implement our strategies. Our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any patient who receives NKX019 or any of our other product candidates in an investigator-sponsored trial ("IST") should not be viewed as representative of how the product candidate will perform in our clinical trials, may not be able to be used to establish safety or efficacy for regulatory approval, and may negatively impact our ability to develop and commercialize the product candidate depending on the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instances, our product candidates may be evaluated in ISTs conducted by certain clinical investigators who are our collaborators. In addition to supplying product candidate for such trials, we may also provide financial support. In July 2024, we announced that researchers at Columbia University Irving Medical Center initiated an IST of NKX019 in patients with systemic lupus erythematosus, and in November 2024, we announced that the first patient had been dosed in the IST. Additionally, in December 2024, we announced the IND clearance of an IST led by researchers at the University of California, Irvine and the University of Kansas Medical Center to evaluate NKX019 in patients with myasthenia gravis, and in May 2025, we announced enrollment in the IST had been initiated.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ISTs may provide valuable insights, they also pose regulatory and operational challenges that could impact our ability to bring our product candidates to market. We have limited or no control over the design, administration, and timing of the ISTs and will have no control over the submission or approval of any IND or foreign equivalent required to conduct these trials. We rely on the investigators and physicians to ensure their compliance with clinical and regulatory requirements when using our product candidates for these trials. Such trials may not be conducted in accordance with protocols we would design, good clinical practice standards, or other regulatory requirements in the same manner as our company-sponsored trials. Their failure to comply could expose us to liability.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ISTs could, depending on the actions of the investigators and other third parties involved in the ISTs,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any of these ISTs are inconsistent with, or different from, the results of our current or future company-sponsored trials or raise concerns regarding our product candidates, the FDA or a foreign regulatory authority may question the results of our company-sponsored trials or subject such results to greater scrutiny than it otherwise would. Negative results, serious adverse events, or other unfavorable findings from ISTs may also result in adverse publicity, increased regulatory scrutiny, additional data requests, or reluctance by potential collaborators, investigators or investors to engage with us. In these circumstances, the FDA or such foreign regulatory authorities may require us to obtain and submit additional clinical data, which could delay clinical development or marketing approval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ISTs could be useful to inform our own clinical development efforts or provide other valuable insights, there is no guarantee that we will be able to use the data from these trials to form the basis for regulatory approval of our product candidates. Moreover, the patient population in such trials is at risk for serious adverse events. If these events are attributed to our product candidates, it could negatively impact their safety profile, leading to delays or failure in obtaining regulatory approval or successfully commercializing our drug candidates. Additionally, our supply capabilities may limit patient enrollment in these trials. We may need to restructure or pause supply to enroll sufficient patients in our company sponsored trials, potentially leading to adverse publicity or other disruptions. If we limit or discontinue product supply for ISTs in order to prioritize our company-sponsored clinical trials, this could strain our relationships with investigators or institutions and negatively impact future collaboration opportunities.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special designations by the regulatory authorities to expedite regulatory approvals, but may not be successful in receiving such designations, and even if received, they may not benefit the development and regulatory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Where possible, we plan to pursue accelerated development strategies in areas of high unmet need. We may seek an accelerated approval pathway for one or more of our product candidates from the FDA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the accelerated approval program,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clinical trials to verify and describe the drug’s clinical benefit. If such post-approval clinical trials fail to confirm the drug’s clinical benefit, the FDA may withdraw its approval of the drug.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approval from the FDA or comparable regulatory authorities through the use of other expedited approval program, such as regenerative medicine advanced therapy ("RMAT") designation, breakthrough therapy designation ("BTD"), fast track designation ("FTD"), or PRIority MEdicine ("PRIME"), from regulatory authorities, for certain product candidates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FTD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Seeking and obtaining these designations is dependent upon results of our clinical program, and we cannot guarantee whether and when we may have the data from our clinical programs to support an application to obtain any such designation. Prior to submitting a BLA, we may seek feedback from the FDA or comparable foreign regulatory authorities and will otherwise evaluate our ability to receive accelerated approval. There can be no assurance that after our evaluation of the feedback and other factors we will decide to pursue a BLA for accelerated approval or any other form of expedited development, review or approval. Similarly, there can be no assurance that after subsequent feedback from the FDA, EMA or comparable foreign regulatory authorities, we will continue to pursue accelerated approval or any other form of expedited development, review or approval, even if we initially decide to do so. Furthermore, if we decide to submit an application for an expedited regulatory designation (e.g., FTD or BTD), there can be no assurance that such submission or application will be granted or that any expedited development, review or approval will be granted on a timely basis, or at all.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The FDA, EMA or other comparable foreign regulatory authorities could also require us to conduct further clinical trials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Furthermore,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regulatory frameworks may impact our clinical development programs. For instance, the recent enactment of FDORA introduces reforms intending to expand the FDA’s ability to regulate products receiving accelerated approval. Pursuant to FDORA, the FDA is authorized to require a post-approval study to be underway prior to approval in addition to being completed within a specified time period following approval. FDORA also requires the FDA to specify the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Additionally, FDORA increased the FDA’s oversight of confirmatory trials and created a formal procedure to withdraw products approved through accelerated approval on an expedited basis for non-compliance with post-approval requirements. In March 2023, the FDA issued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It is unclear how these proposals, future policy changes, and changes in FDA regulation will impact our clinical development programs.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and obtain orphan drug designation for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("ODD") entitles a party to financial incentives such as opportunities for grant funding towards clinical trial costs, tax advantages and user-fee waivers. On December 16, 2021, we announced that the FDA granted ODD to NKX101 for the treatment of acute myeloid leukemia ("AML").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in Europe, the European Commission grants ODD after receiving the opinion of the EMA Committee for Orphan Medicinal Products on an ODD application. ODD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ODD entitles a party to a number of incentives, such as protocol assistance and scientific advice specifically for designated orphan medicines, and potential fee reductions depending on the status of the sponsor.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if a drug with an ODD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ODD or if the drug is sufficiently profitable such that market exclusivity is no longer justified.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ODD neither shortens the development time or regulatory review time of a drug nor gives the drug any advantage in the regulatory review or approval process. While we may seek ODD for applicable indications for our product candidates, we may never receive such designations. Even if we do receive such designations, there is no guarantee that we will enjoy the benefits of those designations.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Public opinion and scrutiny of cell-based immunotherapies may impact public perception of our company and product candidates, or impair our ability to conduct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and negative results from those therapies may affect perception of NK-cell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or discover other product candidates and may fail to capitalize on programs or product candidates that may present a greater commercial opportunity or for which there is a greater likelihood of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depends upon our ability to identify, develop and commercialize product candidates. A key element of our strategy is to discover and develop additional product candidates based upon our NK-cell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different therapeutic targets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methodology or technology platform used may not be successful in identifying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to cease development if we determine that clinical results do not show promise;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we develop may nevertheless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be shown to have harmful side effects or other characteristics that indicate it is unlikely to be effective or otherwise does not meet applicable regulatory criteria;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we have limited resources, we must choose to pursue and fund the development of specific types of treatment, or treatment for a specific type of autoimmune diseases,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product candidate or fail to develop a potentially successful product candidate.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the ability to independently conduct clinical trials. We rely on medical institutions, contract laboratories, and other third parties, such as CROs to advise on or otherwise support our Ntrust-1 and Ntrust-2 clinical trials and clinical investigators to conduct ISTs. We rely heavily on these parties for execution of clinical trials for our product candidates and control only certain aspects of their activities. Nevertheless, we are responsible for ensuring that each of our sponsored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the third parties on which we rely for clinical trials are required to comply with regulations and requirements, including good clinical practices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do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For example, government measures taken in response to the COVID-19 pandemic had a significant impact on our CROs, and similar measures in response to future pandemics, epidemics, or outbreaks of infectious disease may result in further disruptions, which would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typically design the clinical trials for our product candidates, we rely on third parties to conduct our clinical trials. As a result, many important aspects of our clinical development, including their conduct and timing, are outside of our direct control. Our reliance on third parties to conduct our current and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or 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 While we must rely on the clinical investigators to ensure their compliance with clinical and regulatory requirements when using our product candidates for ISTs, their failure to comply could jeopardize the validity of the clinical data generated, identify significant concerns with respect to our product candidates that could impact our findings or clinical trials, and could adversely affect our ability to obtain marketing approval from the FDA or other applicable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and the business or operations of our research partners and other third parties with whom we conduct business have been and could in the future be adversely affected by the effects of pandemics, epidemics, and outbreaks of infectious diseases in regions where we or third parties on which we rely have business operations.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COVID-19 pandemic and measures taken to mitigate the impact of the pandemic disrupted economic activity and business operations worldwide, including the San Francisco Bay Area, where our primary operations are located. The emergence of one or more pandemics, epidemics, or outbreaks of infectious diseases could result in similar disruptions.</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operations, as well as the operations of some of our CROs, contract development and manufacturing organizations ("CDMOs"), and clinical trial sites, may be impacted by future pandemics, epidemics, or outbreaks of infectious disease. For example, as a result of the COVID-19 pandemic, we experienced some delays in completing the construction of our cGMP manufacturing facilities, global supply shortages of certain materials that we and our CDMOs use for research and cGMP manufacturing, employee turnover/attrition, delays and/or disruptions at our CROs, and delays in setting up certain clinical sites and enrollment in our clinical trials.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emergence of a future pandemic, epidemic, or outbreak of infectious disease may impact the regulatory authorities to which we are subject in our industry, which may, in turn, hamper or delay our clinical development efforts. For instance, the COVID-19 pandemic resulted in a significant increase in the FDA workload, as well as the need to reprioritize the projects under review, and a future pandemic, epidemic, or outbreak of infectious disease may do so again in the future.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cannot predict the potential future impacts of the emergence of another pandemic, epidemic, or outbreak of infectious disease on us, our research or collaboration partners, and other third parties with whom we conduct business. We may experience disruptions as a result of a pandemic, epidemic, or outbreak of infectious disease that could severely impact our business, preclinical studies and clinical trials, including: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enrolling patients in our clinical trials, including our ongoing NKX019 clinical trial for LN and pMN and NKX019 clinical trial for scleroderma, myositis, and AAV;</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including difficulties in recruiting and training clinical site investigators and clinical site staff;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recruitment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in the operations of the FDA or other regulatory authorities, which may impact review and approval timelines, including the review of IND or other regulatory submissions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or delays in manufacturing of our product candidates at our in-house manufacturing facility due to staffing shortages, production slowdowns and disruptions, or inability to procure critical raw materials or other supplies in a timely fashion;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disruptions in the qualification of our cGMP facility for commercial-scale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in preclinical studies due to restricted or limited operations at our laboratory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or delays in receiving supplies and materials necessary for our business operations, and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the cost of services or supplies necessary for our research and development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to our discovery and clinical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of any delays or impacts due to pandemics, epidemics, or outbreaks of infectious disease, or government regulations in response to the foregoing, will depend on future developments that are highly uncertain and cannot be predicted with confidence, but these delays could have a material impact on our business, financial condition, and/or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not able to establish pharmaceutical or biotechnology collaborations on commercially reasonable terms, or at all, we may have to alter our development and commercialization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to increase the size of our organization, and we may experience difficulties in managing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we had 108 full-time employees. Our operation may require us to expand our managerial, operational, clinical, quality, human resources, legal, manufacturing, supply chain, finance, commercial and/or other resources in the future in order to manage our clinical trials, continue our development activities and eventually commercialize our product candidates. Our management and personnel, systems and facilities currently in place may not be adequate to support this future growth. In addition, competition for qualified personnel needed to support this future growth is intense and it may be difficult for us to attract and retain quality personnel generally, and as a result of any impact a reduction in force may have on potential employees’ perception of our company and culture.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attract skilled employees or manage our future growth effectively, it will impair our ability to execute our business strategy and our business, financial condition, results of operations and growth prospects will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attract and retain senior management, clinical, and key scientific personnel, we may be unable to successfully develop our product candidates, conduct our clinical trials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for qualified personnel in the biotechnology and pharmaceuticals field is intense due to the limited number of individuals who possess the skills and experience required by our industry. Implementing certain cost containment measures may have a detrimental impact on company culture and employee morale, which may hurt our ability to attract and retain employees. In March 2025, management approved a reduction in workforce, which included members of our senior management team, to decrease our costs and create a more streamlined organization to support our operations and reprioritized product pipeline. This reduction makes retention of our current personnel, including our senior management team, both more important and more challenging and may require the reallocation and the combination of certain roles and responsibilities across the organization, all of which could adversely affect our operations.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need to hire additional personnel if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product candidate that we may develop.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product candidate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clinical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time and 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insurance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that we may develop;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such outcomes could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insurance policies may be inadequate, may not cover all of our potential liabilities and may potentially expose us to unrecoverable risks.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involves the use of hazardous materials and we and our third-party manufacturers and suppliers must comply with environmental laws and regulations, which can be expensive and restrict how we do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negatively impacted by the failure to address evolving environmental, social, and corporate governance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has been increased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required to make changes to our operations in order to comply with any new regulations and to significantly increase our compliance and reporting costs. Regardless of these efforts, we may be perceived to not be adequately addressing these matters, which could negatively impact our reputation and our business. In addition, we currently do not report our environmental emissions, and our lack of reporting could result in certain investors declining to invest in our common stock. </w:t>
      </w:r>
    </w:p>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recent change in Presidential administration has created regulatory uncertainty with respect to the U.S.’s climate change policy. In March 2022, the SEC proposed new rules relating to the disclosure of a range of climate-related risks and final rules were adopted in March 2024. The climate-related disclosure rules have been stayed by the SEC pending litigation challenging the rules and there is uncertainty as to whether the SEC will continue to defend the implementation of these rules. In addition, in October 2023, California issued the Climate Corporate Data Accountability Act (SB 253) and the Climate Related Financial Risk Act (SB 261) (the "California Bills") which require corporations doing business in California to annually report their greenhouse gas emissions and disclose climate-related financial risks and risk mitigation strategies. Complying with the California Bills may be costly, difficult and time consuming, and our business may be negatively impacted due to potential legal liability or by potential competitive disadvantage if our competitors are not subject to the California Bills. In January 2025, an executive order was signed to withdraw the U.S. from the Paris Agreement, marking a significant shift in U.S. climate policy. It remains unclear what further actions may be taken with respect to domestic and international programs and initiatives, what support the Presidential administration would have for any potential changes to such legislative programs and initiatives and what the impact of any such changes might be.</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cells"), and viral vector is generally higher than traditional small-molecule chemical compounds or biologics, and the manufacturing process is presently less reliable and more difficult to reproduce.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 in the clinical trial. If the required additional approvals cannot be obtained, additional delays may occur as manufacturing would need to be restarted, enrollment may be delayed, and/or patients may be unable to remain in the study. Any delay in the clinical development or commercialization of NKX019 or our other product candidates could materially adversely affect our business, financial condition, results of operations and growth prospects.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make changes to our manufacturing process at various points during development, and even after commercialization, for various reasons, such as to control costs, achieve scale, decrease processing time, increase manufacturing success rate or for other reasons. Efforts to scale up and improve our manufacturing processes across our platform are ongoing.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For example, as part of ongoing scale up and optimization of manufacturing across our platform, we previously filed a manufacturing process change amendment with the FDA in our then-enrolling NKX101 Phase 1 clinical trial in AML. After we began dosing patients with NKX101 product that had been generated with the amended manufacturing process, an interim review of the clinical response data from the cohort indicated that the aggregate response rate for the 20 patients in total in the cohort was meaningfully lower than what had been observed and previously reported for the first six patients in the cohort. We subsequently closed enrollment in the clinical trial and deprioritized the NKX101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our process made during the course of clinical development could also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manufacturing in our own internal manufacturing facility to supply drug product for our NKX019 Phase 1 clinical trials. We have in the past, and may again in the future, encounter problems or delays with the internal production of our product candidates. We believe our current clinical cGMP manufacturing facility together with our new commercial-scale manufacturing facility, once qualified, will supply our anticipated non-pivotal clinical trial needs, but if the dose and number of cycles needed increases, our current manufacturing process may not be able to support the enrollment of trials which could lead to delays until we scale up the manufacturing. Although we have an internal cGMP manufacturing facility for the production of certain of our product candidates for our clinical trials, we do not yet operate a cGMP facility for the commercial-scale manufacture of our product candidates. Although we built a commercial-scale manufacturing facility, maintaining our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pandemics, epidemics, or outbreaks of infectious disease or government-imposed restrictions in response to the foregoing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We rely on third parties to manufacture certain materials for use in the production of our product candidates, or may rely on third parties to manufacture certain of our product candidates in the future, which increases the risk</w:t>
      </w:r>
      <w:r>
        <w:rPr>
          <w:rFonts w:ascii="Times New Roman" w:hAnsi="Times New Roman"/>
          <w:color w:val="000000"/>
          <w:sz w:val="20"/>
        </w:rPr>
        <w:t xml:space="preserv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that we will not have sufficient quantities of such materials or product candidates, or such quantities at an acceptable cost, which could delay, prevent or impair our development or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have built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maintain and staff our own commercial-scale cGMP facility, we will need to rely on third parties for commercial-scale manufacture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although we currently manufacture our early-stage clinical supply of NKX019 at one of our own cGMP facilities, we currently outsource manufacturing of certain critical materials necessary for production of our product candidates, including NKSTIM cells and viral vectors. Even though we are currently manufacturing NKX019 at one of our own cGMP facilities, and even if we are successful at manufacturing NKX019 or other product candidates on a commercial scale at one of our own cGMP facilities, we expect to continue to outsource manufacturing of certain materials necessary for production of our product candidates. For instance, we currently manufacture clinical supply of NKSTIM cells and the gamma-retrovirus at third-party contract manufacturing sites. Although we intend to manufacture NKSTIM cells in house in the future, we may not be able to successfully do so. If we are unable to outsource the manufacturing of these materials or our established third-party manufacturers delay delivery of or fail to provide certain materials as needed for the production of our product candidates, then the production of our clinical or commercial supply may be impacted. We compete with other companies for access to third party cGMP facilities and cannot assure continued access.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third-party at a time that is costly or inconvenient for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third parties that we engage to supply any materials or to manufacture any product candidates for our preclinical tests and clinical trials should cease to continue to do so for any reason, including due to the effects of a pandemic, epidemic, or outbreak of infectious disease, such as a future outbreak of a COVID-19 variant, and the actions undertaken by governments and private enterprises to contain such health event,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For example, at some of our contract manufacturing sites, we have experienced delays in the past as a result of COVID-19-related restrictions, including temporary shutdowns, and instances of COVID-19 cases impacting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anticipated dependence upon others for the manufacture of our product candidates and/or materials necessary for production of our product candidates may adversely affect our profit margins and our ability to develop product candidates and commercialize any products that receive marketing approval on a timely and competitive basis.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reliant on a sole supplier for certain steps of our manufacturing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manufacturing process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long-term strategy to mitigate against the risk of shortage due to disruption of the supply chain, including as a result from technical or regulatory constraints or changes in international trade policies. We may experience increased costs to procure these reagents as our current supplies are utilized as a result of tariffs that are imposed.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including as a result of current or future tariffs, be subject to delays in shipment, result in lower yields or not be as suitable for our purposes. In addition, some of the raw materials that we use are complex materials, which may be more difficult to substitute. Therefore, supply disruptions could result in delays and additional regulatory submissions, prevent us from being able to manufacture our product candidates due to the unsuitability of the substituted reagent or consumable that we are able to procure, and impact our ability to maintain our development timelines and remain competitive. Substitution of some or all of these reagents and materials may require substantial changes to our manufacturing process, which may require us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disruption in supply of these instruments and reagents could also result in delays in our clinical trials, which would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built and qualified a facility for the commercial-scale manufacture of our product candidates. The qualification, regulatory approvals and maintenance of such facilities require substantial capital and technical expertise and any delay would limit our development activities and our opportunities for growth.</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manufacturing facilities will be subject to ongoing, periodic inspection by the FDA and other comparable regulatory agencies to ensure compliance with cGMP. In the event of reductions to the FDA’s budget, employees and operations, including as a result of a prolonged government shutdown, we may experience delays in scheduling inspections by the FDA.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may encounter problems with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complying with regulations regarding evolving donor infectious disease testing, traceability, manufacturing, release of product candidates and other requirements from regulatory authorities at the state or federal level or outside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adequate or clinical-grade materials that meet regulatory agency standards or specifications with consistent and acceptable production yield and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bacterial, fungal or viral contamination in our manufacturing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due to natural disasters or supply chain interruptions;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shortages of qualified personnel, raw materials or key contractors.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optimal donor and manufacturing parameters for our product candidates have not been definitively established, which may hinder our ability to optimize our product candidates or to address any safety or efficacy issues that may arise.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although research to establish the optimal donor and manufacturing parameters is ongoing, we have not, at present, fully characterized or identified how donor characteristics and manufacturing process parameters affect the optimal cell killing ability for our engineered NK-cell product candidates for in vitro and animal efficacy studies or how such potency differences may translate into efficacy to be 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 We continue to work to better establish the optimal donor and manufacturing parameters for our product candidates. Efforts to scale up and optimize our manufacturing processes across our platform are ongoing. If we are unable to manufacture sufficient supply of our product candidates, or sufficient supply of our product candidates with the desired parameters, for our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current, planned, or future clinical trials, the clinical development and potential eventual commercialization of may be delayed, and we may be materially harmed as a result.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dependent on third parties to store our CAR NK cells, viral vector, master and working cell banks of NKSTIM cells, and any damage or loss would cause delays in replacement, and our business could suffer.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 NK cells, the viral vector, and the master and working cell banks of NKSTIM cells are stored in freezers at third-party biorepositories and will also be stored in our freezers at our production facilities.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cells, which would impact clinical supply and delay our patients’ treatments. If we are unable to establish replacement materials, we could incur significant additional expenses and liability to patients whose treatment is delayed, and our business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not yet developed a validated methodology for freezing and thawing commercial-scale quantities of CAR NK cells, which we believe will be required for the storage and distribution of our CAR NK-cell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 For these and other reasons, we may not be able to commercialize CAR NK cells on a large scale or in a cost-effective manner. If such product candidate is found to be unstable, we would be required to conduct more frequent manufacturing runs, which could cause us to incur significant additional expenses.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license agreement with National University of Singapore and St. Jude Children’s Research Hospital, Inc. is terminated, we could lose our rights to key components enabling our NK-cell engineering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2016, we entered into a license agreement with the National University of Singapore and St. Jude Children’s Research Hospital, Inc. (the "Licensors"). Pursuant to this license, the Licensors granted to us an exclusive, worldwide, royalty-bearing, sublicensable license to specified patents and patent applications related to NK-cell technology in the field of therapeutics. We are reliant upon certain rights and proprietary technology provided to us under this license for the production and development of certain of our current and future product candidates, such as NKX019.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subject to any patent term adjustments or extensions.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to or necessary for the development or production of our current and future product candidates, including NKX019, which could impede or prevent our successful commercialization of such product candidates and materially adversely affect our business, financial condition, results of operations and growth prospects.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Further, one of the Licensors’ patent families from which we license certain patents and patent applications contains other certain patents and patent applications that the Licensors have licensed to at least one third party. Although the patents and patent applications licensed to the at least one third party should not overlap with our licensed patents and patent applications,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patent protection we obtain is not sufficiently robust, our competitors could develop and commercialize products and technology similar or identical to ours.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uncertain, involves complex legal and factual questions and has, in recent years, been the subject of much litigation. As a result, the issuance, scope, validity, enforceability, term,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Claim scope in a patent application can be significantly reduced before the patent is issued, and claim scope in a patent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develop, manufacture and market our technology and use our technology without infringing the proprietary rights of third parties. We, our licensors, or our collaborators may be subject to third-party claims that could cause us to incur substantial expenses to defend, and these claims, if successful, could require us to pay substantial damages and/or limit our ability to commercialize our product candidates if we, our licensors, or our collaborators are found to be infringing a third party’s intellectual property rights.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that may relate to the areas in which we are developing product candidates. For example, under the CRISPR Agreement, we have received licenses from CRISPR for certain CRISPR-Cas9 gene editing targets that can be engineered into our own NK-cell therapies. Third parties could assert that CRISPR does not have rights to certain CRISPR-Cas9 technologies, or could assert and have asserted in the past, that the CVC Group does not have rights to certain CRISPR-Cas9 technologies, including inventorship and ownership rights to some of the CVC Group’s patents, or that such rights are limited. Third parties could seek to assert their issued patents relating to CRISPR-Cas9 technologies against us or our collaborators based on our CRISPR-Cas9-based activities, or those of our collaborators, including commercialization of gene-edited NK-cell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 We may decide to file reexaminations, inter partes reviews, and other post-grant proceedings before the United States Patent and Trademark Office ("USPTO") and other comparable proceedings (e.g., oppositions) in foreign jurisdictions, including to challenge the validity of third-party patents that may relate to the areas in which we are developing product candidates and technology. Such proceedings can be unpredictable and time-consuming and can divert management attention and financial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generative artificial intelligence ("AI") resources that are publicly available present a risk that our employees, consultants, contractors or collaborators may inadvertently obtain, incorporate or use a third party’s intellectual property, and may also inadvertently disclose, input or otherwise provide our confidential, proprietary or intellectual property to such AI resources in a manner that could compromise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could materially adversely affect our ability to develop, manufacture and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many patents issued and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Changes in patent laws and regulations may also affect the expiration date of any patent in the United States or elsewhere that we consider relevant. If we fail to correctly identify or interpret relevant patents or the expiration dates thereof,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development and commercialization rights to our current and future product candidates and technology are subject, in part, to the terms and conditions of licenses granted to us by others.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NKX019.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NK-cell therapies that have been gene-edited using CRISPR’s gene-editing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substantially the same as or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licensors may have relied on third-party consultants or collaborators or on funds from third parties such that our licensors are not the sole and exclusive owners of the patents we in-licensed. For example, if other third parties have ownership rights to our in-licensed patents, they may be able to license such patents to our competitors, and our competitors could market competing products and technology. This could harm our competitive position, and our business.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Duration of patent terms may be inadequate to protect our competitive position on our product candidates for an adequate amount of time, and the expiration of our patents may subject us to increased 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including issued patents and patent applications related to NKX019 and our NK cell engineering platform. Our portfolio of issued patents, excluding pending patent applications, has estimated expiration dates between 2024 and 2041, subject to any patent terms adjustments or extensions. Our portfolio, including issued patents, and including pending applications, to the extent they issue as patents or are used to establish nonprovisional patent applications that issue as patents, is expected to have estimated expiration dates between 2024 and 2046, subject to any patent terms adjustments or extensions. For instance, composition-of-matter claims in our licensed patent portfolio that relate to our NKSTIM cells are estimated to have expired in Q4 2024, subject to any patent terms adjustments or extensions. We plan to file additional patent applications that could potentially allow for further increase of the exclusive market protection for certain uses of NKX019. However, we can provide no assurance that we will be able to file or receive additional patent protection for these or other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or by changes in regulations or laws. In addition, if we fail to apply for applicable patent term extensions or adjustments, we will have a more limited time during which we can enforce our granted patent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covering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after issuance, our owned and in-licensed patents may be subject to challenge, which if successful could result in a partial or complete loss of patent rights, which could materially adversely affect our ability to protect our competitive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our patents are determined to be valid and enforceable, they may not be interpreted sufficiently broadly to prevent others from marketing products similar to ours or designing around our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Post-grant proceedings such as inter partes review, post-grant review, and ex parte reexaminations in the United States, or comparable proceedings (e.g., oppositions) in foreign jurisdictions,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proceedings, our rights under the relevant patents could be narrowed or lost, and in the course of such proceedings, we may incur substantial costs, and the time and attention of our management may be diverted from the development and commercialization of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from time to time, seek to enforce our intellectual property rights against infringers when we determine that a successful outcome is probable and may lead to an increase in the value of the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 Proceedings to challenge patents are also available internationally, including, for example, opposition proceedings and nullity actions. In patent litigation in the United States, counterclaims alleging invalidity and/or unenforceability and PTAB challenges are commonplace. Grounds for a validity challenge could be an alleged failure to meet any of several statutory requirements, including lack of novelty, obviousness, lack of written description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 number of international patents and patent applications and expect to continue to pursue patent protection in many of the significant markets in which we intend to do business. However, filing, prosecuting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protection offered by intellectual property rights in certain countries outside of the United States may be less extensive than that in the United States.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Federal Circuit and U.S. Supreme Court have ruled on several patent cases in recent years, narrowing the scope, and limiting the duration,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During a seven-year transitional period, patent owners may remove patents, patent applications, and supplementary protection certificates from the jurisdiction of the UPC, provided that no action has been filed before the UPC, by filing a request to opt out of the jurisdiction of the UPC. Such “opted-out” patents will remain or issue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fail to obtain or enforce assignments of intellectual property rights from our employees, consultants and contractors.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it is our policy to require our employees, consultants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adequately prevent disclosure of trade secrets and other proprietary information, the value of our technology and product candidates could be materially diminished.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has certain rights in some of our licensed patents (including U.S. Patent Nos. 7,435,596, 8,026,097, and 11,673,937,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may exercise certain "march-in rights," which require us to grant exclusive licenses to such inventions to a third party if the U.S. government determines that: (i) adequate steps have not been taken to commercialize the invention; (ii) government action is necessary to meet public health or safety needs; (iii) government action is necessary to meet requirements for public use under federal regulations; or (iv) the general requirement that patented products be manufactured substantially in the United States unless domestic manufacture is not feasible has not been satisfied or waived.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unless domestic manufacture is not feasible or the requirement is waived. If we are unable to obtain a waiver from the government agency that provided the underlying research funding, we may be limited in our ability to contract with non-U.S. product manufacturers for products related to such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the U.S. government has not historically exercised its march-in rights, the U.S. Department of Commerce recently announced it was initiating a review of an academic research institute’s compliance with the Bayh-Dole Act, suggesting a potential shift toward stricter enforcement of Bayh–Dole Act compliance by the current administration, relative to prior administrations. 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including NKX019, could be subject to regulatory limitations following approval, if and when such approval is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NKX019 or other product candidates in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manufacturing processes;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the product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education requirements for prescribers;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requirements prior to product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Untitled or Warning Letters from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opportunities for our product candidates, if and when approved, may be limited, and if such market opportunities are smaller than we expect, our revenues could be materially adversely affected and our business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Ntrust-1 clinical trial is evaluating NKX019 in patients with refractory LN and pMN. Our Ntrust-2 clinical trial is evaluating NKX019 in patients with refractory scleroderma, patients with myositis who have failed at least one treatment, and patients with relapsed or refractory AAV. We do not know at this time whether either NKX019 or any of our product candidates will be safe for use in humans or whether they will demonstrate any efficacy against autoimmune diseases. If the efficacy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patients who have the specific diseases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The commercial success of any of our product candidates will depend upon such product candidate’s degree of market acceptance by physicians, patients, third-party payors and others in the medical community.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relative to alternative treatments, and the availability of coverage or reimbursements by government and private payors to enable patients to afford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physicians to refer patients and prescribe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nature,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imposed by the FDA or other regulatory authorities, including any limitations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concerning our product candidates or favorable publicity about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payor coverage, any limitations in terms of center or personnel training requirement imposed by third parties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FDA-approved labeling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FDA requirement to undertake a REMS;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sales, marketing and distribution efforts;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product liability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a product candidate displays a favorable efficacy and safety profile in preclinical studies and clinical trials, market acceptance of the product will not be fully known until after such product is launched. Our product candidates may not achieve broad market acceptance.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the cost of a single administration of one of our cell therapy product candidates to be substantial, when and if they achieve regulatory approval. We expect that there is likely to be a significant copay associated with our cell therapy products given the overall cost and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The change in the Presidential administration, including new leadership of CMS and the enactment of </w:t>
      </w:r>
      <w:r>
        <w:rPr>
          <w:rFonts w:ascii="Times New Roman" w:hAnsi="Times New Roman"/>
          <w:color w:val="212529"/>
          <w:sz w:val="20"/>
        </w:rPr>
        <w:t>Public Law No. 119–21 as H.R. 1 during the 119th Congress and formally titled “An Act to Provide for Reconciliation Pursuant to Title II of H. Con. Res. 14”</w:t>
      </w:r>
      <w:r>
        <w:rPr>
          <w:rFonts w:ascii="Times New Roman" w:hAnsi="Times New Roman"/>
          <w:color w:val="000000"/>
          <w:sz w:val="20"/>
        </w:rPr>
        <w:t xml:space="preserve"> ("2025 Reconciliation Act"), may result in a change in priorities, and prior rulemaking may be materially altered or abandoned. Moreover, reimbursement agencies in other countries, such as those in Europe, may be more conservative than CMS.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patient assistance programs, including copay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related to allegations regarding their use to promote branded pharmaceutical products over other less costly alternatives have resulted in significant civil and criminal settlements. While copay assistance programs are common within the industry, the Office of Inspector General at the U.S. Department of Health and Human Services ("HHS") has taken the position that such programs may violate the Anti-Kickback Statute. It is difficult to predict whether new legislation or regulatory action will restrict copay assistance programs and there is a risk that if these copay assistance programs are curtailed, higher cost treatments will be less accessible to patients and less likely to gain market acceptance.</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reform initiatives and other administrative and legislative proposals may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Patient Protection and Affordable Care Act, as amended by the Health Care and Education Reconciliation Act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nondeductible fee on any entity that manufactures or imports certain branded prescription drug agents or biologic agents, which is apportioned among these entities according to their market share in certain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new methodology by which rebates owed by manufacturers under the Medicaid Drug Rebate Program are calculated for drugs that are inhaled, infused, instilled, implanted or injected;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eligibility criteria for Medicaid programs by, among other things, allowing states to offer Medicaid coverage to certain individuals with income at or below 133% of the federal poverty level, thereby potentially increasing manufacturers’ Medicaid rebate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Patient-Centered Outcomes Research Institute to oversee, identify priorities in, and conduct, comparative clinical effectiveness research, along with funding for such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 Center for Medicare and Medicaid Innovation at CMS to test innovative payment and service delivery models to lower Medicare and Medicaid spending, potentially including prescription drug spending.</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 and it is unclear how other efforts, if any, to challenge, repeal or replace the ACA, and other healthcare reform measures, will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the ACA will be subject to further legislative, judicial, and executive challenges in the future. Even if the ACA is not amended or repealed, the President and the executive branch of the federal government, as well as CMS, have a significant impact on the implementation of the provisions of the ACA. It is expected that the new Presidential administration will make changes impacting the implementation and enforcement of the ACA, however it is unclear how and to what extent any such challenges and reform measures will impact the ACA and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also been a number of proposals in the United States, at both the federal and state level,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For example, certain states, including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California, have implemented state-level cost containment strategies, which could adversely impact adoption of higher-cost medicines that are new to the market.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Most significantly, on August 16, 2022, the Inflation Reduction Act of 2022 ("IRA") was signed into law.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increases that outpace inflation; (iii) cap Medicare Part D beneficiaries’ annual out-of-pocket drug expenses to $2,000 starting in 2025, effectively eliminating the “donut hole” for Medicare Part D; and (iv) delay the rebate rule that would limit the fees that pharmacy benefit managers can charge. The IRA also extends enhanced subsidies for individuals purchasing coverage in a health insurance marketplace through plan year 2025. The effect of the IRA on our business and the healthcare industry in general is not yet known, but we continue to evaluate its potential impact. In addition, the current administration is pursuing other measures to reduce the cost of drugs in the United States. For example, on July 4, 2025, the 2025 Reconciliation Act, which reduces funding to federal healthcare programs and imposes additional requirements to be eligible for healthcare, was signed into law. Additionally, in April 2025, an executive order was signed directing the Secretary of HHS to take appropriate steps to, among other things, modify certain provisions of the Medicare Drug Price Negotiation Program, develop and implement a payment model to reduce the price of high-cost prescription drugs and biological products covered by Medicare, accelerate approval of generic and biosimilar products, and facilitate the ability of states to import pharmaceuticals from other countries, and in May 2025, an executive order was signed, among other things, directing the Secretary of HHS to propose rules that impose “most-favored-nation” pricing and take other measures to reduce the cost of prescription drugs. It is currently unclear whether and to what extent these measures will be implemented and what impact any such implementation would have on our business. Further, there can be no assurance that the current administration or future administrations will not pursue different or additional measures, such as those intended to more closely align U.S. drug prices with international drug prices (often referred to as "reference" or "international price index" drug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marketing approval or commercialization of our product candidates in one jurisdiction does not mean that we will be successful in obtaining marketing approval of our product candidates in other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market approved products outside the United States, we expect that we will be subject to additional risks in commercialization,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approval of therapies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revenues,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natural disasters including earthquakes, typhoons, floods and fires, and other public health crises, illnesses, epidemics or pandemics.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fail to comply with evolving global privacy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sensitive information, including personal data, proprietary and confidential business data, trade secrets, intellectual property, data we collect about trial participants in connection with clinical trials, and sensitive third-party data. We also rely extensively on third-party vendors, CROs, clinical trial sites, contract manufacturers and other service providers that process personal and other sensitive information on our behalf.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risks associated with cybersecurity threats, including ransomware attacks, phishing schemes, system intrusions, data exfiltration and other unauthorized access to or misuse of our systems or the systems of our third-party providers. A security breach or other incident affecting us or our vendors could result in the unauthorized disclosure of sensitive information, including clinical trial data, personal information or proprietary business information, and could disrupt our operations, delay our clinical development programs, give rise to lawsuits along with associated costs of defense and/or potential liabilities, prompt regulatory actions, or result in loss of confidence by clinical trial participants, partners or investors.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there are a broad variety of data protection and security laws and regulations that have been enacted by federal, state, and local governments, including personal data privacy laws, health information privacy laws, data breach notification laws, and consumer protection laws. For example, the Health Insurance Portability and Accountability Act of 1996 ("HIPAA"), as amended by the Health Information Technology for Economic and Clinical Health Act of 2009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 There are a wide range of enforcement agencies at both the state and federal levels that can review companies for privacy and data security concerns based on general consumer protection laws. The Federal Trade Commission and state Attorneys General may all review privacy and data security protections for consumers.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laws also are being enacted and considered at both the state and federal levels. For example, the California Consumer Privacy Act (the "CCPA"), which went into effect on January 1, 2020,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$7,500 per violation) and includes a private right of action for certain data breaches. Although there are some exemptions for clinical trial data and health information, the CCPA may impact our business activities and increase our compliance costs and potential liability. In addition, the California Privacy Rights Act (the "CPRA") expanded the CCPA, including by expanding consumers’ rights with respect to certain sensitive personal data. The CPRA also created the new California Privacy Protection Agency (the “CPPA”) to implement and enforce the CCPA and the CPRA, which could increase compliance costs. Regulations under the CPRA became effective in February 2024. The CPPA finalized new regulations in September 2025 that will require certain companies to conduct annual cybersecurity audits; these audits are due starting April 1, 2028, April 1, 2029 and April 1, 2030 depending on the revenues and amount of personal information collected by the business. In addition, starting January 1, 2026, covered businesses must conduct risk assessments involving certain kinds of processing that pose a significant risk to consumers and set up notice and opt-out and access procedures for the use of automated decision-making technology in connection with certain kinds of significant decisions involving consumers. Similar laws have been passed in Colorado, Connecticut, Delaware, Florida, Indiana, Iowa, Kentucky, Maine, Maryland, Minnesota, Montana, Nebraska, New Hampshire, New Jersey, Oregon, Rhode Island, Tennessee, Texas, Utah and Virginia, and have been proposed in other states and at the federal level, reflecting a trend toward more stringent privacy legislation in the United States. Some of these laws provide for significant civil penalties, statutory damages, class action exposure and expanded regulatory enforcement authority. The enactment of such laws could have potentially conflicting requirements that would make compliance challenging. Additionally,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uncertainty as to the exact interpretation of the new requirements on our trials and we may be unsuccessful in implementing all measures required by data protection authorities or courts in interpretation of the new law. Regulatory guidance and enforcement practices under the GDPR continue to evolve, and interpretations by supervisory authorities or courts may require us to modify our data processing practices or incur additional compliance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These differing national requirements may increase the complexity and cost of conducting clinical trials across multiple EU member states and could result in delays or additional administrative burdens.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Legal developments affecting cross-border data transfer mechanisms, including challenges to the validity of transfer frameworks or contractual safeguards, could require us to implement additional technical, contractual or organizational measures or could limit our ability to transfer clinical trial data internationally.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In addition, any material data protection investigation, enforcement action or publicized data security incident could result in reputational harm, operational disruption or delays in our clinical development activities. Any of the foregoing could materially harm our business, prospects,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for our common stock may be volatile, which could contribute to the loss of all or part of your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price of our common stock is likely to be highly volatile and subject to wide fluctuations in response to various factors, some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affecting the trading price of our common stock may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decision to initiate a clinical study, not to initiate a clinical study or to terminate an existing clinical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strategy, including decisions to deprioritize certain product candidates or change our pipeline focus in the future, as well as cost-containment or cost-optimization initiatives we may undertake;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announcement of initial data or clinical results from our clinical trials or expectations that such delays may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or clinical results from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decisions, including failure to receive regulatory approval for our products;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 or failure of competitive products, immunotherapy drugs or cellular therapies more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developments concerning our manufacturers or our strategic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safety or other clinical results, such as those that have occurred in the past or that may occur in the future, related to cellular therapies being developed by other companies that are or may be perceived to be similar to our cellular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and stock price performance of other companies that investors deem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substantial amounts of common stock by our directors, executive officers or significant stockholders or the perception that such sales could occur;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and political conditions such as military conflicts, political unrest, recessions, inflationary pressures, interest rates, fuel prices, elections, tariffs and trade policies, drug pricing policies, international currency fluctuations, acts of war or terrorism, and other public health crises, illnesses, epidemics or pandemics;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discussed in these risk factors.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may be highly volatile in the event of a pandemic, epidemic, or outbreak of infectious disease, such as an outbreak of a COVID-19 variant.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18, 2026, our directors and executive officers, and entities affiliated with them, as well as holders of more than 5% of our outstanding shares of common stock, in the aggregate beneficially own 38% of our common stock (based on 71,290,490 shares of our common stock outstanding and 3,000,031 shares that could be issued upon the exercise of pre-funded warrants).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those of our other investors.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significant portion of our total outstanding shares are eligible to be sold into the market, which could cause the market price of our common stock to drop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in the market that the holders of a large number of stockholders intend to sell shares of our common stock, could reduce the market price of our common stock. As of March 18, 2026 we had 74,290,521 shares of common stock outstanding (including pre-funded warrants).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Holders of an aggregate of 9,837,634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“smaller reporting company” and we rely on exemptions from certain disclosure and governance requirements applicable to smaller reporting companies, as a result of which our common stock may be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by applicable rules of the SEC. We will remain a smaller reporting company and non-accelerated filer until we have a public float of $700 million or more as of the last business day of our most recently completed second fiscal quarter, or a public float of $250 million or more as of the last business day of our most recently completed second fiscal quarter and annual revenues of $100 million or more. Although we no longer qualify as an emerging growth company, as long as we continue to qualify as a smaller reporting company and do not otherwise become an “accelerated filer” or “large accelerated filer,” we may continue to rely on scaled disclosure requirements, including the exemption from the auditor attestation requirements of Section 404(b) of the Sarbanes-Oxley Act and reduced disclosure obligations regarding executive compensation and certain other disclosures in our periodic reports and proxy statements. We cannot predict if investors will find our common stock less attractive if we rely on smaller reporting company exemptions. If some investors find our common stock less attractive as a result, there may be a less active trading market for our common stock and our stock price may be more volatile.</w:t>
      </w:r>
    </w:p>
    <w:p>
      <w:pPr>
        <w:pStyle w:val="TextBody"/>
        <w:bidi w:val="0"/>
        <w:spacing w:before="360" w:after="283"/>
        <w:jc w:val="left"/>
        <w:rPr>
          <w:rFonts w:ascii="Times New Roman" w:hAnsi="Times New Roman"/>
          <w:sz w:val="20"/>
        </w:rPr>
      </w:pPr>
      <w:r>
        <w:rPr>
          <w:rFonts w:ascii="Times New Roman" w:hAnsi="Times New Roman"/>
          <w:b/>
          <w:i/>
          <w:color w:val="000000"/>
          <w:sz w:val="20"/>
        </w:rPr>
        <w:t>Our severance and change in control agreements with our executive officers may require us to pay severance benefits to any of those persons who are terminated, which could materially adversely affect our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and in particular, pursuant to multiple agreements at the same time, could materially adversely affect our financial condition and results of operations. In addition, these potential severance payments may discourage or prevent third parties from seeking a business combination with us.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carryovers and certain other tax attributes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At December 31, 2025, we had federal and state net operating losses ("NOLs") carryforwards of approximately $298.1 million and $65.1 million, respectively. Federal NOLs generated in periods after December 31, 2017 may be carried forward indefinitely but may only be used to offset 80% of our taxable income in years beginning after December 31, 2020. As described above under “We have incurred significant losses since our inception, and we expect to continue to incu</w:t>
      </w:r>
      <w:r>
        <w:rPr>
          <w:rFonts w:ascii="Times New Roman" w:hAnsi="Times New Roman"/>
          <w:i/>
          <w:color w:val="000000"/>
          <w:sz w:val="20"/>
        </w:rPr>
        <w:t>r significant losses for the foreseeable future</w:t>
      </w:r>
      <w:r>
        <w:rPr>
          <w:rFonts w:ascii="Times New Roman" w:hAnsi="Times New Roman"/>
          <w:color w:val="000000"/>
          <w:sz w:val="20"/>
        </w:rPr>
        <w:t xml:space="preserve">,” we have incurred net losses since our inception and anticipate that we will continue to incur significant losses for the foreseeable future. Under the Internal Revenue Code of 1986 (the "Code"), a corporation is generally allowed a deduction for NOLs carried over from a prior taxable year. Under that provision, we can carry forward our NOLs to offset our future taxable income, if any, until such NOLs are used or expire, in the case of federal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federal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expect to pay any cash dividends to the holders of our common stock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bylaws and Delaware law contain provisions that may have the effect of delaying or preventing a change in control of us or changes in our management. Our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“blank check” preferred stock, which could be issued by our board of directors without stockholder approval and may contain voting, liquidation, dividend and other rights superior to our common stock;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not all members of the board are elected at one time, which may delay the ability of our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only our board of directors, the Chairperson of our board of directors, our Chief Executive Officer or the President, or holders of greater than 10% of our common stock can call special meetings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our stockholders, including proposed nominations of persons for election to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a majority of directors then in office, even though less than a quorum, may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no stockholder is permitted to cumulate votes at any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expressly authorize our board of directors to modify, alter or repeal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votes of the holders of our common stock to amend specified provisions of our Certificate of Incorporation and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we are incorporated in the State of Delaware, we are governed by the provisions of Section 203 of the Delaware General Corporation Law, which limits the ability of stockholders owning in excess of 15% of our outstanding voting stock to merge or combine with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includes a forum selection clause,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of breach of a fiduciary duty owed by any of our directors, officers or other employees to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against us arising pursuant to any provision of the Delaware General Corporation Law, our certificate of incorporation or our bylaws;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action asserting a claim against us that is governed by the internal affairs doctrine.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exclusive forum provision is intended to apply to claims arising under Delaware state law and is not intended to apply to claims brought pursuant to the Securities Exchange Act of 1934, as amended (the "Exchange Act") or the Securities Act of 1933, as amended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360" w:after="283"/>
        <w:jc w:val="left"/>
        <w:rPr>
          <w:rFonts w:ascii="Times New Roman" w:hAnsi="Times New Roman"/>
          <w:sz w:val="20"/>
        </w:rPr>
      </w:pPr>
      <w:r>
        <w:rPr>
          <w:rFonts w:ascii="Times New Roman" w:hAnsi="Times New Roman"/>
          <w:b/>
          <w:i/>
          <w:color w:val="000000"/>
          <w:sz w:val="20"/>
        </w:rPr>
        <w:t>Computer system interruptions or security breaches of our information systems could significantly disrupt our product development programs and our ability to operate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cloud-based computing services and those of our current and future collaborators, third party service providers, and other contractors or consultants (collectively, our "information systems") are vulnerable to damage or interruption from computer viruses, ransomware, malware, data corruption, cyber-based attacks, phishing attacks, unauthorized access, natural disasters, terrorism, war and telecommunication and electrical failures. These computer systems may also experience disruptions or outages due to internal or third-party mistakes or technical errors, including due to software updates. Such information system disruptions, even if inadvertent, may limit or disable our access to our systems or access by our collaborators, third party service providers, or other contractors or consultants to their systems, which could disrupt our business. While we have taken steps to protect our information systems and the data maintained in those systems, we have, from time to time, experienced cyber incidents of varying degrees, although none of these cyber incidents have had a material adverse impact on our business, financial condition or results of operations. Our business is becoming increasingly dependent upon these information systems, including as a result of remote working policies following the COVID-19 pandemic. It is possible that in the future our safety and security measures will not prevent the improper functioning or damaging of our systems, or the improper access or disclosure of personally identifiable information, in particular as cyber-based attacks become increasingly sophisticated, and any such event could materially and adversely impact our business, financial condition or results of operations. If a significant system disruption,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federal, state and international laws and regulations, such as the GDPR, which took effect in May 2018, and the CCPA which took effect on January 1, 2020, as well as the CPRA, which took effect on January 1, 2023 and made a number of significant amendments to the CCPA, can expose us to enforcement actions and investigations by regulatory authorities, and potentially result in regulatory penalties and significant legal liability, if our information systems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computer system interruptions or security breaches of our information systems could result in a disruption of our operations, damage to our reputation, investigations, claims or lawsuits and we may also be subject to liability under relevant contractual obligations and laws and regulations protecting personal data and may be required to expend significant resources to defend, remedy and/or address any cybersecurity incidents and claims, investigations, penalties, fines, damages or settlements arising from cybersecurity incidents. We may not have adequate insurance coverage to compensate it for any losses that may occur.</w:t>
      </w:r>
    </w:p>
    <w:p>
      <w:pPr>
        <w:pStyle w:val="TextBody"/>
        <w:bidi w:val="0"/>
        <w:spacing w:before="360" w:after="283"/>
        <w:jc w:val="left"/>
        <w:rPr>
          <w:rFonts w:ascii="Times New Roman" w:hAnsi="Times New Roman"/>
          <w:sz w:val="20"/>
        </w:rPr>
      </w:pPr>
      <w:r>
        <w:rPr>
          <w:rFonts w:ascii="Times New Roman" w:hAnsi="Times New Roman"/>
          <w:b/>
          <w:i/>
          <w:color w:val="000000"/>
          <w:sz w:val="20"/>
        </w:rPr>
        <w:t>The misuse of artificial intelligence could adversely impact our business, including by posing security risks to our confidential information, proprietary information and personal data.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increasing use and integration of AI technologies, including generative AI and machine learning-based software, present risks and challenges that could materially and adversely affect our operations and business. While we may selectively integrate AI tools following legal and IT review, our current and future collaborators, third party service providers, and other contractors or consultants often may incorporate AI technologies into their platforms or services without disclosing such use to us. These tools may fall short of regulatory or ethical standards concerning privacy and data protection, leading to compromised data integrity, diminished service quality, and potential legal or reputational fallout.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Algorithmic bias and flawed analyses further compound these risks, with security breaches—real or perceived—by us or our third-party partners possibly resulting in the loss of intellectual property and sensitive information. The inadvertent disclosure of proprietary assets through AI systems can erode intellectual property protections and reduce their value. Combined with regulatory uncertainty surrounding AI development, these challenges heighten exposure to liability and adverse business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affected by macroeconomic conditions, including rising inflation, interest rates and supply chain constraints.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and the global financial markets, as well as from the implementation of policies by the new Presidential administration. Economic tensions and changes in international trade policies, including, for example, the recent widespread tariffs announced by the U.S. on its major trading partners, higher tariffs on imported goods and materials, and actions taken in response (such as retaliatory tariffs or other trade protectionist measures or the renegotiation of free trade agreements), have increased inflationary pressures and recessionary fears. In addition, the imposition of export controls, sanctions, import restrictions or other trade barriers, as well as non-tariff retaliatory measures by other countries, could limit the availability of, or increase the cost of, critical raw materials, reagents, consumables, equipment or services that we rely on for research, clinical development and manufacturing. Inflation has negatively impacted us and could continue to negatively impact us by increasing our cost of labor (through higher wages), commercial support, construction, manufacturing and clinical supply expenditures. Current inflationary pressures, if sustained, could have a negative impact on our operations. We may also experience volatility in foreign currency exchange rates in connection with payments to foreign vendors, which could increase our operating expenses.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 Similarly, these macroeconomic factors could affect the ability of our third-party manufacturers, contractors or suppliers to manufacture materials required for our product candidates on a cost effective basis, if at all. Supply chain disruptions, labor shortages or financial distress affecting our vendors or financial institutions could result in delays in our clinical trials or manufacturing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changes in U.S. and international governmental policies on a variety of matters such as trade, tariffs and manufacturing policies may further exacerbate an uncertain macroeconomic environment, which would adversely affect the U.S. economy and financial markets. In addition, disruptions in U.S. government operations, including government shutdowns, funding lapses, staffing shortages or changes in regulatory agency priorities, could delay regulatory review of our product candidates, inspections of our facilities, or other governmental actions necessary to support our development programs or access to the capital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individually or collectively, could materially and adversely affect our business, financial condition and results of operations.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acquisitions or strategic collaborations may increase our capital requirements, dilute our stockholders, cause us to incur debt or assume contingent liabilities or subject us to other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scrutiny by the Federal Trade Commission ("FTC") and the Department of Justice ("DOJ"), including the potential challenge of a proposed merger or acquisition by the FTC or DOJ;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indebtedness or contingent or unknown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and drugs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adequately prosecuting and maintaining protection of any acquired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drug programs and initiatives in pursuing such a strategic partnership, merger or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about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drugs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drugs, intellectual property rights, technologies, and/or businesses sufficient to meet our objectives in undertaking the acquisition or even to offset the associated acquisition and maintenance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subject to securities class action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reports or downgrade our stock, the price of our common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increased costs as a result of operating as a public company, and our management is required to devote substantial time to compliance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 We may, as a result of regulatory changes, be subject to additional requirements,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for as long as we are a “smaller reporting company” and are not classified as an “accelerated filer” or “large accelerated filer,” our independent registered public accounting firm will not be required to attest to the effectiveness of our internal controls over financial reporting pursuant to Section 404 of the Sarbanes-Oxley Act.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to, or interpretations of, financial accounting standards may affect our results of operations and could cause us to change our business practices.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4" w:name="item_1b_unresolved_staff_comments"/>
      <w:bookmarkEnd w:id="4"/>
      <w:r>
        <w:rPr>
          <w:rFonts w:ascii="Times New Roman" w:hAnsi="Times New Roman"/>
          <w:b/>
          <w:color w:val="000000"/>
          <w:sz w:val="20"/>
        </w:rPr>
        <w:t>Item 1B. Unresolved Staff Comments.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Cybersecurity Risk Management and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continuously monitor our information systems to assess, identify, and manage risks from vulnerabilities and assess cybersecurity threats. Our process for identifying and assessing material risks from cybersecurity threats operates alongside our broader overall risk assessment process. We monitor risks through routine security assessments and implementation of enhancements to security measures used to protect our systems and data. We address system alerts on an ongoing basis. We maintain an Incident Response Plan Policy ("IRP") that sets forth processes we will follow to address incidents defined therein to include actual or reasonably suspected cyber incidents. Our information technology team promptly responds to system alerts and reported incidents that indicate the suspected presence of an incident and escalates in accordance with the IRP. The IRP, among other things, provides for a cross-functional team consisting of representatives from informational technology, risk management, legal, and communications, an Incident Response Team ("IRT"), that collaborates to quickly assess the impact, mitigate risks to information systems, and resolve incidents while improving information systems. Depending on the incident, we may utilize third-parties for assistance in investigating and addressing cybersecurity incidents.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utilize certain third-party service providers to perform a variety of critical business functions and recognize that we are exposed to cybersecurity threats associated with our use of third-party service providers. We have certain vendor management processes designed to help manage cybersecurity risks associated with our use of certain of these providers. Additionally, we strive to minimize cybersecurity risks when we first select or renew a vendor by including cybersecurity risk as part of our overall vendor evaluation and due diligence process.</w:t>
      </w:r>
    </w:p>
    <w:p>
      <w:pPr>
        <w:pStyle w:val="TextBody"/>
        <w:bidi w:val="0"/>
        <w:spacing w:before="240" w:after="283"/>
        <w:jc w:val="left"/>
        <w:rPr>
          <w:rFonts w:ascii="Times New Roman" w:hAnsi="Times New Roman"/>
          <w:sz w:val="20"/>
        </w:rPr>
      </w:pPr>
      <w:r>
        <w:rPr>
          <w:rFonts w:ascii="Times New Roman" w:hAnsi="Times New Roman"/>
          <w:color w:val="000000"/>
          <w:sz w:val="20"/>
        </w:rPr>
        <w:t>We have not had cyber incidents that have materially affected our business or financial condition. For details about our risks associated with cybersecurity threats, see “—</w:t>
      </w:r>
      <w:r>
        <w:rPr>
          <w:rFonts w:ascii="Times New Roman" w:hAnsi="Times New Roman"/>
          <w:i/>
          <w:color w:val="000000"/>
          <w:sz w:val="20"/>
        </w:rPr>
        <w:t>Computer system interruptions or security breaches of our information systems could significantly disrupt our product development programs and our ability to operate our business.</w:t>
      </w:r>
      <w:r>
        <w:rPr>
          <w:rFonts w:ascii="Times New Roman" w:hAnsi="Times New Roman"/>
          <w:color w:val="000000"/>
          <w:sz w:val="20"/>
        </w:rPr>
        <w:t>” in the section titled “Risk Factors” in Part I, Item 1A in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Governance Related to Cybersecurity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is responsible for identifying and assessing material risks for the business on an ongoing basis, including in relation to cybersecurity. As part of this process, our IRT is tasked with implementing and maintaining our cybersecurity programs, including establishing processes to ensure that potential cybersecurity risk exposures are monitored and putting in place appropriate mitigation measures. Our President oversees our information technology department which monitors the prevention, detection, mitigation, and remediation of cyber incidents, if any, and reports all potential incidents and an initial assessment of such incident to the IRT and has over 5 years of experience with overseeing risk, compliance, and information technology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of Directors (the "Board") oversees our risk management program as part of its general oversight function. The Board’s Audit Committee is delegated the responsibility for reviewing and discussing with management our program to identify, assess, manage, and monitor significant business risks, including financial, operational, privacy, business continuity, legal and regulatory, reputation risks, and security, including cybersecurity. The Audit Committee receives quarterly updates from management regarding investigated incidents and periodic updates from management regarding cybersecurity matters (including the current threat landscape and cybersecurity risks). The Audit Committee may provide updates to the Board on the substance of these reports and any recommendations for improvements that the Audit Committee deems appropriate.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6" w:name="item_2_properties"/>
      <w:bookmarkEnd w:id="6"/>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facilities are located at three leased sites. The first site, located at 6000 Shoreline Court, South San Francisco, California, consists of approximately 28,469 square feet of office and laboratory space and is primarily used for manufacturing activities. Of this office and laboratory space, approximately 14,697 square feet was subleased as of December 31, 2025. Our lease covering multiple suites at this site expires in July 2030, and our subleases expire in November 2027 and July 2030. The second site, located at 750 Gateway Boulevard, South San Francisco, California, consists of 510 square feet of vivarium and laboratory space, and is primarily used for preclinical research. Our agreement that provides for our use of these vivarium and laboratory spaces expires in December 2028. The third site, located at 1150 Veterans Boulevard, South San Francisco, California, consists of 88,000 square feet of office and laboratory space and is primarily used for research, clinical, manufacturing and corporate activities. This lease expires in 2034. As a result of moving our main offices and research activities to the Veterans location in 2023, we vacated certain suites at the 6000 Shoreline Court location. We sublease some of these suites while still maintaining sufficient office and laboratory space to allow our team to continue to develop our proprietary programs. We believe that these facilities are sufficient to meet our current needs. </w:t>
      </w:r>
    </w:p>
    <w:p>
      <w:pPr>
        <w:pStyle w:val="TextBody"/>
        <w:bidi w:val="0"/>
        <w:spacing w:before="360" w:after="283"/>
        <w:jc w:val="left"/>
        <w:rPr>
          <w:rFonts w:ascii="Times New Roman" w:hAnsi="Times New Roman"/>
          <w:sz w:val="20"/>
        </w:rPr>
      </w:pPr>
      <w:bookmarkStart w:id="7" w:name="item_3_legal_proceedings"/>
      <w:bookmarkEnd w:id="7"/>
      <w:r>
        <w:rPr>
          <w:rFonts w:ascii="Times New Roman" w:hAnsi="Times New Roman"/>
          <w:b/>
          <w:color w:val="000000"/>
          <w:sz w:val="20"/>
        </w:rPr>
        <w:t>Item 3. 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 </w:t>
      </w:r>
    </w:p>
    <w:p>
      <w:pPr>
        <w:pStyle w:val="TextBody"/>
        <w:bidi w:val="0"/>
        <w:spacing w:before="360" w:after="283"/>
        <w:jc w:val="left"/>
        <w:rPr>
          <w:rFonts w:ascii="Times New Roman" w:hAnsi="Times New Roman"/>
          <w:sz w:val="20"/>
        </w:rPr>
      </w:pPr>
      <w:bookmarkStart w:id="8" w:name="item_4_mine_safety_disclosures"/>
      <w:bookmarkEnd w:id="8"/>
      <w:r>
        <w:rPr>
          <w:rFonts w:ascii="Times New Roman" w:hAnsi="Times New Roman"/>
          <w:b/>
          <w:color w:val="000000"/>
          <w:sz w:val="20"/>
        </w:rPr>
        <w:t>Item 4. Mine</w:t>
      </w:r>
      <w:r>
        <w:rPr>
          <w:rFonts w:ascii="Times New Roman" w:hAnsi="Times New Roman"/>
          <w:color w:val="000000"/>
          <w:sz w:val="20"/>
        </w:rPr>
        <w:t xml:space="preserve"> </w:t>
      </w:r>
      <w:r>
        <w:rPr>
          <w:rFonts w:ascii="Times New Roman" w:hAnsi="Times New Roman"/>
          <w:b/>
          <w:color w:val="000000"/>
          <w:sz w:val="20"/>
        </w:rPr>
        <w:t>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part_ii"/>
      <w:bookmarkEnd w:id="9"/>
      <w:r>
        <w:rPr>
          <w:rFonts w:ascii="Times New Roman" w:hAnsi="Times New Roman"/>
          <w:b/>
          <w:color w:val="000000"/>
          <w:sz w:val="20"/>
        </w:rPr>
        <w:t>PART II</w:t>
      </w:r>
    </w:p>
    <w:p>
      <w:pPr>
        <w:pStyle w:val="TextBody"/>
        <w:bidi w:val="0"/>
        <w:spacing w:before="240" w:after="283"/>
        <w:jc w:val="left"/>
        <w:rPr>
          <w:rFonts w:ascii="Times New Roman" w:hAnsi="Times New Roman"/>
          <w:sz w:val="20"/>
        </w:rPr>
      </w:pPr>
      <w:bookmarkStart w:id="10" w:name="item_5_market_for_registrants_common_equ"/>
      <w:bookmarkEnd w:id="10"/>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common stock has been listed on The Nasdaq Global Select Market under the symbol “NKTX” and has been publicly traded since July 10, 2020. Prior to that date, there was no public trading market for our common stock.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 of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18, 2026, there were approximately 16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unregistered sales of equity securities during the period covered by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required by this Item regarding equity compensation plans is incorporated by reference to the information set forth in Part III, Item 12 of this Annual Report on Form 10-K.</w:t>
      </w:r>
    </w:p>
    <w:p>
      <w:pPr>
        <w:pStyle w:val="TextBody"/>
        <w:bidi w:val="0"/>
        <w:spacing w:before="360" w:after="283"/>
        <w:jc w:val="left"/>
        <w:rPr>
          <w:rFonts w:ascii="Times New Roman" w:hAnsi="Times New Roman"/>
          <w:sz w:val="20"/>
        </w:rPr>
      </w:pPr>
      <w:bookmarkStart w:id="11" w:name="item_6_selected_financial_data"/>
      <w:bookmarkEnd w:id="11"/>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2" w:name="item_7_managements_discussion_analysis_f"/>
      <w:bookmarkEnd w:id="12"/>
      <w:r>
        <w:rPr>
          <w:rFonts w:ascii="Times New Roman" w:hAnsi="Times New Roman"/>
          <w:b/>
          <w:color w:val="000000"/>
          <w:sz w:val="20"/>
        </w:rPr>
        <w:t>Item 7.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financial statements and related notes appearing elsewhere in this Annual Report on Form 10-K. This discussion contains forward-looking statements that reflect our plans, estimates and beliefs, and involve risks and uncertainties. Our actual results and the timing of certain events could differ materially from those anticipated in these forward-looking statements as a result of several factors, including those discussed in the section titled “Risk Factors” included under Part I, Item 1A and elsewhere in this Annual Report on Form 10-K. See “Cautionary Note Regarding Forward-Looking Statements” in this Annual Report on Form 10-K.</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pioneering the development of allogeneic, off-the-shelf engineered natural killer ("NK") cell therapies. Our lead pipeline program is NKX019, a chimeric antigen receptor-natural killer ("CAR NK") product candidate targeting the CD19 antigen for the treatment of patients with autoimmune diseases. Our CAR NK platform enables an on-demand, off-the-shelf approach involving scaled manufacturing to broaden patient access. We have developed proprietary technologies designed to generate an abundant supply of NK cells, increase NK cell recognition of target antigens, and enhance NK cell fitness to support scalable, off the shelf administration. NKX019 is allogeneic, which means it is produced using cells from a different person than the patient(s) being treated, and it is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other diseases, be well tolerated, and avoid some of the toxicities observed with other cell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modular engineering platform builds on the distinctive biology of NK cells and their role in eradicating aberrant and pathologically transformed cells. Our process starts with mature NK cells derived from healthy donors. We build on the intrinsic ability of these immune cells to identify and kill transformed cells with cell engineering to further enhance their activity. This engineering involves inducing the expression of a chimeric antigen receptor ("CAR") on the surface of an NK cell to enable the cell to recognize specific proteins or antigens that are present on the surface of target cells. Our engineered CAR NK cells generally consist of an NK cell engineered with a targeting receptor, OX40 costimulatory domain, CD3ζ(zeta) signaling moiety, and a membrane-bound form of the cytokine IL(interleukin)-15 ("mbIL-15").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2025, we approved a reduction in workforce as a result of a review of current strategic priorities and resource allocation with the intent to decrease our costs and create a more streamlined organization to support our operations and reprioritized product pipeline.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Ntrust-1 clinical trial ("Ntrust-1") is a multi-center, open-label, dose-escalation Phase 1 clinical trial of NKX019 for lupus nephritis ("LN") and primary membranous nephropathy ("pMN"). Our Ntrust-2 clinical trial ("Ntrust-2") is a multi-center, open-label, dose-escalation Phase 1 clinical trial of NKX019 for systemic sclerosis ("scleroderma"), idiopathic inflammatory myopathy ("myositis") and antineutrophil cytoplasmic antibody (ANCA)-associated vasculitis ("AAV"). In order to maximize the potential success of both our Ntrust-1 clinical trial and our Ntrust-2 clinical trial, in May 2025, we announced the modification of the lymphodepleting conditioning ("LD") prior to administration of NKX019 to use a combination of fludarabine ("Flu") and cyclophosphamide ("Cy"), with the option for patients with cytopenias to continue to receive Cy alone as modified LD. At that time, we also announced that researchers at the University of California, Irvine initiated an investigator-sponsored trial ("IST") of NKX019 in patients with myasthenia gravis ("MG"). NKX019 is also being studied in an IST at Columbia University Irving Medical Center in patients with systemic lupus erythematosus ("SLE").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November 2025, we announced that deep B-cell depletion was observed in all patients treated to date who received NKX019 with LD using Flu and Cy versus partial B-cell depletion in patients receiving only Cy. At the same time, we reported the implementation of a streamlined enrollment process that allows participant data from both the Ntrust-1 and Ntrust-2 clinical trials to be reviewed by a combined independent Data Safety Monitoring Board ("iDSMB") to inform dose-escalation decisions. This update followed engagement with the U.S. Food and Drug Administration ("FDA") and authorization by the iDSMB to initiate enrollment in the second dose-escalation cohort.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commencement of our operations in 2015, we have devoted substantially all our resources in support of our product development efforts, hiring personnel, raising capital to support and expand such activities and providing general and administrative support for these operations. We have incurred net operating losses since inception and have not generated any revenue from product sales. In the future, we expect that our operating expenses will significantly increase as we continue to develop and seek regulatory approvals for our product candidates, continue to engage in other research and development activities to expand our pipeline of product candidates, maintain and expand our intellectual property portfolio, maintain and expand our product manufacturing capabilities, and ultimately establish a commercial organization. We have funded our operations primarily through the issuance of Company stock and intend to raise additional capital to fund operations until such time that we are able to generate sufficient revenues to cover our operating expenses. We may seek additional funding through the issuance of common stock, including through equity or debt financing or collaborations or partnerships with other companies. The amount and timing of our future funding requirements will depend on many factors, including, among other things, the pace and results of our clinical development efforts for our product candidates. We may not be able to raise additional capital on terms acceptable to us, or at all. Any failure to raise capital as and when needed would compromise our ability to execute our business plan and may cause us to undertake cost containment measures and/or significantly delay, scale back or discontinue the development of some of our programs. We have also incurred increased operating expenses since becoming a public company, which we expect will further increase when we are no longer able to rely on certain “smaller reporting company” exemptions we are afforded as further described below. Our net losses may fluctuate significantly from quarter-to-quarter and year-to-year. </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costs consist primarily of costs incurred for the discovery and clinical development of our drug candidates,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related benefits, travel and share-based compensation expenses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research, laboratory consumables, sponsored research,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consultants engaged in research and development related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manufacture drug product candidates for use in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expenses, which include allocated expenses for rent and maintenance of facilities, insurance and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regulatory compliance;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annual license fees under our third-party licensing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typically have various early-stage research and drug discovery projects as well as various product candidates undergoing clinical trials. Our internal resources, employees and infrastructure are generally not directly tied to any one research or drug discovery project and are typically deployed across multiple projects. As such, we do not maintain information regarding the costs incurred for these early-stage research and drug discovery programs on a project-specific basis. As part of cost containment measures undertaken by us, early discovery and preclinical programs have been deprioritized with less personnel and funding allocated to advancing these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years ended December 31, 2025 and 2024.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unallocated internal research and development costs include personnel, facility costs, laboratory consumables and discovery and research related activities associated with our pipeline.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454" w:type="dxa"/>
        <w:jc w:val="left"/>
        <w:tblInd w:w="0" w:type="dxa"/>
        <w:tblLayout w:type="fixed"/>
        <w:tblCellMar>
          <w:top w:w="28" w:type="dxa"/>
          <w:left w:w="28" w:type="dxa"/>
          <w:bottom w:w="28" w:type="dxa"/>
          <w:right w:w="28" w:type="dxa"/>
        </w:tblCellMar>
      </w:tblPr>
      <w:tblGrid>
        <w:gridCol w:w="4851"/>
        <w:gridCol w:w="146"/>
        <w:gridCol w:w="211"/>
        <w:gridCol w:w="676"/>
        <w:gridCol w:w="146"/>
        <w:gridCol w:w="146"/>
        <w:gridCol w:w="211"/>
        <w:gridCol w:w="676"/>
        <w:gridCol w:w="39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development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NKX019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NKX101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internal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96,744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future, including as a result of Ntrust-1, our clinical trial of NKX019 for the treatment of LN and pMN, Ntrust-2, our clinical trial of NKX019 for the treatment of scleroderma, myositis, and AAV, and the ISTs for the treatment of MG and SLE.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 Item 1A, “Risk Factors” in this Annual Report on Form 10-K. We may never succeed in obtaining regulatory approval for any of our drug candidates.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continue to closely manage our expenditures, including following our cost containment measures, we still expect our general and administrative expenses will increase in the future in support of increased research and development activities and to reflect increased costs associated with operating as a public company. These anticipated increased costs will include increased expenses related to audit, legal, regulatory and tax-related services associated with maintaining compliance with exchange listing and SEC requirements, insurance premiums and investor relations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on our cash, cash equivalents and short-term and long-term investments and adjustments related to amortization of purchase premiums and accretion of discounts of cash equivalents, short-term and long-term investments.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subject to corporate U.S. federal and state income taxation. We estimate our income tax provision, including deferred tax assets and liabilities, based on management’s judgment. We record a valuation allowance to reduce our deferred tax assets to the amounts that are more likely than not to be realized. We consider future taxable income, ongoing tax planning strategies and our historical financial performance in assessing the need for a valuation allowance. If we expect to realize deferred tax assets for which we have previously recorded a valuation allowance, we will reduce the valuation allowance in the period in which such determination is first made.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record liabilities related to uncertain tax positions in accordance with the guidance that clarifies the accounting for uncertainty in income taxes recognized in an enterprise’s financial statements by prescribing a minimum recognition threshold and measurement attribute for the financial statement recognition and measurement of a tax position taken or expected to be taken in a tax return.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jc w:val="left"/>
        <w:rPr/>
      </w:pPr>
      <w:r>
        <w:rPr/>
        <w:t> </w:t>
      </w:r>
    </w:p>
    <w:tbl>
      <w:tblPr>
        <w:tblW w:w="6638" w:type="dxa"/>
        <w:jc w:val="left"/>
        <w:tblInd w:w="0" w:type="dxa"/>
        <w:tblLayout w:type="fixed"/>
        <w:tblCellMar>
          <w:top w:w="28" w:type="dxa"/>
          <w:left w:w="28" w:type="dxa"/>
          <w:bottom w:w="28" w:type="dxa"/>
          <w:right w:w="28" w:type="dxa"/>
        </w:tblCellMar>
      </w:tblPr>
      <w:tblGrid>
        <w:gridCol w:w="2511"/>
        <w:gridCol w:w="146"/>
        <w:gridCol w:w="211"/>
        <w:gridCol w:w="841"/>
        <w:gridCol w:w="166"/>
        <w:gridCol w:w="146"/>
        <w:gridCol w:w="211"/>
        <w:gridCol w:w="841"/>
        <w:gridCol w:w="166"/>
        <w:gridCol w:w="146"/>
        <w:gridCol w:w="211"/>
        <w:gridCol w:w="631"/>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expenses were $90.4 million and $96.7 million for the years ended December 31, 2025 and 2024, respectively. The decrease of $6.3 million was attributable primarily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$9.3 million decrease in personnel costs primarily from lower salaries and wages, bonus expense, and share-based compensation expense recognized due to lower headcount as a result of the reduction in force in March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$0.9 million decrease in other research costs, primarily consisting of research supplies and facility expenses as a result of reduction in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$1.8 million increase in program costs primarily from higher clinical spending related to NKX019 to support Phase I clinical trials in autoimmune diseases, which were partially offset by lower manufacturing, materials, and clinical expenses related to NKX101 as the program was deprioritized and reduced manufacturing and materials expenses related to NKX019;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$2.1 million increase in consulting expenses, partially as a result of the reduction in force.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were $31.6 million and $31.5 million for the years ended December 31, 2025 and 2024, respectively. The increase of $0.1 million was primarily due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$4.9 million increase in severance expenses resulting from the March 2025 reduction in force;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$0.8 million increase due to an impairment of right-of-use assets in 2025 and no impairment expense in 2024;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$4.2 million decrease in personnel-related expenses primarily from lower salaries and wages, bonus expense, and share-based compensation expense recognized due to lower headcount as a result of the reduction in force;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$1.4 million decrease in rent and other facilities expense primarily due to the termination of the lease for one of our suites in July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was $15.5 million and $19.3 million for the years ended December 31, 2025 and 2024, respectively. The decrease of $3.8 million was primarily due to lower average investment balances and lower yields in the current period. Interest income includes interest earned from investments, partially offset by amortization of purchase premiums and accretion of discounts of investments.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 income,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income, net was $2.4 million for the year ended December 31, 2025 and immaterial for the year ended December 31, 2024. The increase of $2.3 million was primarily due to $1.5 million of recognition of employee retention tax credits received under the CARES Act and $0.8 million from sublease income which commenced in December 2024. </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cash, cash equivalents, restricted cash and short-term and long-term investments of $295.1 million. We estimate that all $265.1 million in net proceeds from our July 2020 initial public offering have been spent. On April 28, 2022, we received $215.3 million in net proceeds, after deducting underwriting discounts, commissions and other offering expenses, in connection with our secondary offering of our common stock. On March 27, 2024, we received $225.1 million in net proceeds from an underwritten public offering, after deducting underwriting discounts, commissions and expenses, described further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17, 2023, the Company filed a Registration Statement on Form S-3, as amended by the Form S-3/A filed on April 24, 2023 (the "Shelf Registration Statement"), covering the offer and sale from time to time, pursuant to Rule 415 of the Securities Act of 1933, as amended (the "Securities Act"), of up to $350.0 million in aggregate offering price of shares of the Company’s common stock, shares of the Company’s preferred stock, debt securities, warrants, rights and/or units, including up to $120.0 million in aggregate offering price of shares of the Company’s common stock, shares of the Company’s preferred stock, debt securities, warrants, rights and/or units registered on the Company’s Registration Statement on Form S-3 declared effective by the Securities and Exchange Commission (the "SEC") on September 2, 2021 (the "Prior Registration Statement") that had not yet been sold. The Shelf Registration Statement was declared effective by the SEC on May 5, 2023.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27, 2024, we completed an underwritten public offering utilizing the Shelf Registration Statement, pursuant to which we sold an aggregate of (i) 21,010,000 shares of common stock at a price of $10.00 per share, and (ii) pre-funded warrants to purchase 3,000,031 shares of common stock at a price of $9.9999 per pre-funded warrant. The pre-funded warrants can be exercised at any time after issuance for an exercise price of $0.0001 per share, subject to certain ownership limitations. As of December 31, 2025, none of the pre-funded warrants have been exercised. We raised $240.1 million in gross proceeds before underwriting discounts, commissions and other expenses of $15.0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net losses and negative cash flows from operations since our inception. As of December 31, 2025, we had an accumulated deficit of $648.3 million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need substantial additional funding to support our continuing operations and pursue our long-term development strategy, including the potential initiation of a pivotal stage clinical trial for any or all of our current development programs. Until such time as we can generate significant revenue from sales of our drug candidates, if ever, we may seek additional funding through the issuance of our common stock, including through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market conditions, and the success of our recent and any future cost-containment measures.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our current cash, cash equivalents, restricted cash and short-term and long-term investments as of December 31, 2025 will be sufficient to meet our cash needs for at least 12 months following the issuance date of this Annual Report on Form 10-K.</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summary of our cash flows for the periods indicated (in thousands): </w:t>
      </w:r>
    </w:p>
    <w:p>
      <w:pPr>
        <w:pStyle w:val="TextBody"/>
        <w:bidi w:val="0"/>
        <w:jc w:val="left"/>
        <w:rPr/>
      </w:pPr>
      <w:r>
        <w:rPr/>
        <w:t> </w:t>
      </w:r>
    </w:p>
    <w:tbl>
      <w:tblPr>
        <w:tblW w:w="7034" w:type="dxa"/>
        <w:jc w:val="left"/>
        <w:tblInd w:w="0" w:type="dxa"/>
        <w:tblLayout w:type="fixed"/>
        <w:tblCellMar>
          <w:top w:w="28" w:type="dxa"/>
          <w:left w:w="28" w:type="dxa"/>
          <w:bottom w:w="28" w:type="dxa"/>
          <w:right w:w="28" w:type="dxa"/>
        </w:tblCellMar>
      </w:tblPr>
      <w:tblGrid>
        <w:gridCol w:w="4321"/>
        <w:gridCol w:w="146"/>
        <w:gridCol w:w="211"/>
        <w:gridCol w:w="781"/>
        <w:gridCol w:w="166"/>
        <w:gridCol w:w="146"/>
        <w:gridCol w:w="211"/>
        <w:gridCol w:w="84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(129,555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for the year ended December 31, 2025 of $88.7 million was primarily due to a net loss of $104.1 million, adjusted for a decrease in net change in operating assets and liabilities of $0.4 million, which was offset by an increase in net non-cash charges of $15.8 million. The change in net operating assets and liabilities was primarily due to an increase in prepaid expenses for the maintenance of laboratory equipment and interest receivable, and a decrease in accounts payable, accruals, and operating lease liability. The non-cash charges primarily consisted of stock-based compensation of $8.6 million, depreciation and amortization of $9.2 million, which was offset by investment accretion and amortization of $4.6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for the year ended December 31, 2024 of $99.7 million was primarily due to our net loss of $108.8 million, adjusted for a decrease in net change in operating assets and liabilities of $12.2 million, which was offset by an increase in net non-cash charges of $21.3 million. The change in net operating assets and liabilities was primarily due to an increase in prepaid expenses for the maintenance of laboratory equipment and interest receivable, and a decrease in accounts payable, accruals, and operating lease liability. The non-cash charges primarily consisted of stock-based compensation of $16.7 million, depreciation and amortization of $9.2 million, which was offset by investment accretion and amortization of $6.9 million.</w:t>
      </w:r>
    </w:p>
    <w:p>
      <w:pPr>
        <w:pStyle w:val="TextBody"/>
        <w:bidi w:val="0"/>
        <w:spacing w:before="36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by investing activities was $100.3 million for the year ended December 31, 2025 comprised of the purchase of marketable securities of $238.6 million and the purchase of property and equipment of $1.2 million, partially offset by proceeds from the maturities of marketable securities of $340.1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used by investing activities was $129.6 million for the year ended December 31, 2024 comprised of the purchase of marketable securities of $406.4 million and the purchase of property and equipment of $4.4 million, partially offset by proceeds from the maturities of marketable securities of $281.2 million. </w:t>
      </w:r>
    </w:p>
    <w:p>
      <w:pPr>
        <w:pStyle w:val="TextBody"/>
        <w:bidi w:val="0"/>
        <w:spacing w:before="36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immaterial cash provided by financing activities for the year ended December 31,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of $226.1 million for the year ended December 31, 2024, which primarily consisted of net proceeds from our underwritten public offering of $225.1 million that closed in March 2024.</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our current operating plans, we believe that our existing cash, cash equivalents, and investments will be sufficient to fund our operations for at least the next 12 months from the date of this Annual Report on Form 10-K.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type, number, scope, progress, enrollment rate, expansions, results, costs and timing of our clinical trials and preclinical studies for our product candidates or other potential product candidates or indications which we are pursuing or may choose to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costs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manufacturing for our product candidates, including commercial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the continuation of our preclinical and clinical activities, including as a result of any delays or an increase in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or ability to pay out-of-pocket for any approved products in the absence of coverage and/or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establishing and maintaining collaborations, licenses and other similar arrangements, including payments required for meeting regulatory and commercial milestones or sales based royalties;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obtaining, maintaining and enforcing our patent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product candidates, products or technologies that we may in-license or acquire;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implement cost containment measures, including subleasing portions of our leased corporate office space in South San Francisco.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as we can generate significant revenue from sales of our therapeutic product candidates, if ever, we expect to finance our cash needs through public or private equity, debt financings or other capital sources, including potential collaborations, licenses and other similar arrangements. We may be unable to raise additional funds or enter into such other arrangements when 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undertake additional cost-containment measures and/or delay, limit, reduce or terminate our product development or future commercialization efforts or grant rights to develop and market our product candidates even if we would otherwise prefer to develop and market such product candidates ourselves.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2025, we approved a reduction in workforce as a result of a review of current strategic priorities and resource allocation and with the intent to decrease our costs and create a more streamlined organization to support our operations and reprioritized product pipeline.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Contractual Obligations and Commitments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lease certain office, laboratory and manufacturing space under non-cancelable operating leases. In addition to rent, our leases are subject to additional variable charges for common area maintenance, property taxes, property insurance and other variable costs. See Note 6 to our financial statements included in Part II, Item 8 of this Annual Report on Form 10-K for additional detail.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undiscounted aggregate future operating lease obligations under all of our operating leases as of December 31, 2025 are $111.8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enter into contracts in the normal course of business for clinical trials, preclinical studies, manufacturing and other services and products for operating purposes. These contracts generally provide for termination following a certain period after notice and therefore we believe that non-cancelable obligations under these agreements are not material.</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estimates and judgments that affect the reported amounts of assets, liabilities and expenses and the disclosure of assets and liabilities in our financial statements and accompanying notes. On an ongoing basis, we evaluate our estimates and judgments, including those related to clinical trial accruals, share-based compensation, pre-funded warrants and impairment of long-lived assets.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 See Note 2 to our financial statements included in Part II, Item 8 of this Annual Report on Form 10-K for a summary of significant accounting policies and the effect on our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Recent Accounting Pronouncements in Note 2 to our financial statements included in Part II, Item 8 of this Annual Report on Form 10-K.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December 31, 2025 and 2024.</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one business activity and operate in one reportable segment.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in Rule 12b-2 of the Exchange Act, meaning that the market value of our common stock held by non-affiliates is less than $700 million and our annual revenue is less than $100 million during the most recently completed fiscal year. We may continue to be a smaller reporting company if either (i) the market value of our common stock held by non-affiliates is less than $250 million or (ii) our annual revenue is less than $100 million during the most recently completed fiscal year and the market value of our common stock held by non-affiliates is less than $700 million. As a smaller reporting company, we may continue to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 compensation in our prospectuses and in our periodic reports and proxy statements.</w:t>
      </w:r>
    </w:p>
    <w:p>
      <w:pPr>
        <w:pStyle w:val="TextBody"/>
        <w:bidi w:val="0"/>
        <w:spacing w:before="360" w:after="283"/>
        <w:jc w:val="left"/>
        <w:rPr>
          <w:rFonts w:ascii="Times New Roman" w:hAnsi="Times New Roman"/>
          <w:sz w:val="20"/>
        </w:rPr>
      </w:pPr>
      <w:bookmarkStart w:id="13" w:name="item_7a_quantitative_qualitative_disclos"/>
      <w:bookmarkEnd w:id="13"/>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4" w:name="item_8_financial_statements_supplementar"/>
      <w:bookmarkEnd w:id="14"/>
      <w:r>
        <w:rPr>
          <w:rFonts w:ascii="Times New Roman" w:hAnsi="Times New Roman"/>
          <w:b/>
          <w:color w:val="000000"/>
          <w:sz w:val="20"/>
        </w:rPr>
        <w:t>Item 8. Financial Statements</w:t>
      </w:r>
      <w:r>
        <w:rPr>
          <w:rFonts w:ascii="Times New Roman" w:hAnsi="Times New Roman"/>
          <w:color w:val="000000"/>
          <w:sz w:val="20"/>
        </w:rPr>
        <w:t xml:space="preserve"> </w:t>
      </w:r>
      <w:r>
        <w:rPr>
          <w:rFonts w:ascii="Times New Roman" w:hAnsi="Times New Roman"/>
          <w:b/>
          <w:color w:val="000000"/>
          <w:sz w:val="20"/>
        </w:rPr>
        <w:t>and Supplementary Data.</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Index to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2025 and 2024</w:t>
      </w:r>
    </w:p>
    <w:p>
      <w:pPr>
        <w:pStyle w:val="TextBody"/>
        <w:bidi w:val="0"/>
        <w:jc w:val="left"/>
        <w:rPr/>
      </w:pPr>
      <w:r>
        <w:rPr/>
        <w:t> </w:t>
      </w:r>
    </w:p>
    <w:tbl>
      <w:tblPr>
        <w:tblW w:w="7052" w:type="dxa"/>
        <w:jc w:val="left"/>
        <w:tblInd w:w="0" w:type="dxa"/>
        <w:tblLayout w:type="fixed"/>
        <w:tblCellMar>
          <w:top w:w="28" w:type="dxa"/>
          <w:left w:w="28" w:type="dxa"/>
          <w:bottom w:w="28" w:type="dxa"/>
          <w:right w:w="28" w:type="dxa"/>
        </w:tblCellMar>
      </w:tblPr>
      <w:tblGrid>
        <w:gridCol w:w="6226"/>
        <w:gridCol w:w="826"/>
      </w:tblGrid>
      <w:tr>
        <w:trPr/>
        <w:tc>
          <w:tcPr>
            <w:tcW w:w="6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report_independent_registered_public_acc">
              <w:r>
                <w:rPr>
                  <w:rStyle w:val="InternetLink"/>
                  <w:rFonts w:ascii="Times New Roman" w:hAnsi="Times New Roman"/>
                  <w:color w:val="0000FF"/>
                  <w:sz w:val="20"/>
                  <w:u w:val="single"/>
                </w:rPr>
                <w:t>Report of Independent Registered Public Accounting Firm (PCAOB ID: 42)</w:t>
              </w:r>
            </w:hyperlink>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Audited Financial Statements</w:t>
            </w:r>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pPr>
            <w:hyperlink w:anchor="balance_sheets">
              <w:r>
                <w:rPr>
                  <w:rStyle w:val="InternetLink"/>
                  <w:rFonts w:ascii="Times New Roman" w:hAnsi="Times New Roman"/>
                  <w:color w:val="0000CC"/>
                  <w:sz w:val="20"/>
                  <w:u w:val="single"/>
                </w:rPr>
                <w:t>Balance Sheets</w:t>
              </w:r>
            </w:hyperlink>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105</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pPr>
            <w:hyperlink w:anchor="statements_operations_comprehensive_loss">
              <w:r>
                <w:rPr>
                  <w:rStyle w:val="InternetLink"/>
                  <w:rFonts w:ascii="Times New Roman" w:hAnsi="Times New Roman"/>
                  <w:color w:val="0000CC"/>
                  <w:sz w:val="20"/>
                  <w:u w:val="single"/>
                </w:rPr>
                <w:t>Statements of Operations and Comprehensive Loss</w:t>
              </w:r>
            </w:hyperlink>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106</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pPr>
            <w:hyperlink w:anchor="statements_convertible_preferred_stock_s">
              <w:r>
                <w:rPr>
                  <w:rStyle w:val="InternetLink"/>
                  <w:rFonts w:ascii="Times New Roman" w:hAnsi="Times New Roman"/>
                  <w:color w:val="0000CC"/>
                  <w:sz w:val="20"/>
                  <w:u w:val="single"/>
                </w:rPr>
                <w:t>Statements of Stockholders' Equity</w:t>
              </w:r>
            </w:hyperlink>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107</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pPr>
            <w:hyperlink w:anchor="statements_cash_flows">
              <w:r>
                <w:rPr>
                  <w:rStyle w:val="InternetLink"/>
                  <w:rFonts w:ascii="Times New Roman" w:hAnsi="Times New Roman"/>
                  <w:color w:val="0000CC"/>
                  <w:sz w:val="20"/>
                  <w:u w:val="single"/>
                </w:rPr>
                <w:t>Statements of Cash Flows</w:t>
              </w:r>
            </w:hyperlink>
          </w:p>
        </w:tc>
        <w:tc>
          <w:tcPr>
            <w:tcW w:w="82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108</w:t>
            </w:r>
          </w:p>
        </w:tc>
      </w:tr>
      <w:tr>
        <w:trPr/>
        <w:tc>
          <w:tcPr>
            <w:tcW w:w="6226"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pPr>
            <w:hyperlink w:anchor="notes">
              <w:r>
                <w:rPr>
                  <w:rStyle w:val="InternetLink"/>
                  <w:rFonts w:ascii="Times New Roman" w:hAnsi="Times New Roman"/>
                  <w:color w:val="0000CC"/>
                  <w:sz w:val="20"/>
                  <w:u w:val="single"/>
                </w:rPr>
                <w:t>Notes to Financial Statements</w:t>
              </w:r>
            </w:hyperlink>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5" w:name="report_independent_registered_public_acc"/>
      <w:bookmarkEnd w:id="15"/>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Stockholders and the Board of Directors of Nkarta, Inc.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audited the accompanying balance sheets of Nkarta, Inc. (the Company) as of December 31, 2025 and 2024, the related statements of operations and comprehensive loss, stockholders’ equity and cash flows for each of the two years in the period ended December 31, 2025, and the related notes (collectively referred to as the "financial statements"). In our opinion, the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Audit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pStyle w:val="TextBody"/>
        <w:bidi w:val="0"/>
        <w:spacing w:before="360" w:after="360"/>
        <w:jc w:val="righ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San Mateo, California</w:t>
      </w:r>
    </w:p>
    <w:p>
      <w:pPr>
        <w:pStyle w:val="TextBody"/>
        <w:bidi w:val="0"/>
        <w:jc w:val="left"/>
        <w:rPr>
          <w:rFonts w:ascii="Times New Roman" w:hAnsi="Times New Roman"/>
          <w:color w:val="000000"/>
          <w:sz w:val="20"/>
        </w:rPr>
      </w:pPr>
      <w:r>
        <w:rPr>
          <w:rFonts w:ascii="Times New Roman" w:hAnsi="Times New Roman"/>
          <w:color w:val="000000"/>
          <w:sz w:val="20"/>
        </w:rPr>
        <w:t>March 25, 2026</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sz w:val="20"/>
        </w:rPr>
      </w:pPr>
      <w:bookmarkStart w:id="16" w:name="balance_sheets"/>
      <w:bookmarkEnd w:id="16"/>
      <w:r>
        <w:rPr>
          <w:rFonts w:ascii="Times New Roman" w:hAnsi="Times New Roman"/>
          <w:b/>
          <w:color w:val="000000"/>
          <w:sz w:val="20"/>
        </w:rPr>
        <w:t>Balance Sheets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 except par value and share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2"/>
        <w:gridCol w:w="146"/>
        <w:gridCol w:w="211"/>
        <w:gridCol w:w="841"/>
        <w:gridCol w:w="166"/>
        <w:gridCol w:w="146"/>
        <w:gridCol w:w="211"/>
        <w:gridCol w:w="841"/>
        <w:gridCol w:w="591"/>
      </w:tblGrid>
      <w:tr>
        <w:trPr/>
        <w:tc>
          <w:tcPr>
            <w:tcW w:w="7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273,338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501,203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54,350,179 shares</w:t>
              <w:br/>
              <w:t xml:space="preserve">   authorized; no shares issued and outstanding </w:t>
              <w:br/>
              <w:t>   at December 31, 2025 and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200,000,000 shares </w:t>
              <w:br/>
              <w:t xml:space="preserve">   authorized as of December 31, 2025 and 2024; 71,078,531 and </w:t>
              <w:br/>
              <w:t>   70,645,139 shares issued and outstanding at December 31, 2025 and 2024,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960,219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951,519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407,976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501,203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operations"/>
      <w:bookmarkEnd w:id="17"/>
      <w:r>
        <w:rPr>
          <w:rFonts w:ascii="Times New Roman" w:hAnsi="Times New Roman"/>
          <w:b/>
          <w:color w:val="000000"/>
          <w:sz w:val="20"/>
        </w:rPr>
        <w:t>NKARTA, INC.</w:t>
      </w:r>
    </w:p>
    <w:p>
      <w:pPr>
        <w:pStyle w:val="TextBody"/>
        <w:bidi w:val="0"/>
        <w:jc w:val="center"/>
        <w:rPr>
          <w:rFonts w:ascii="Times New Roman" w:hAnsi="Times New Roman"/>
          <w:sz w:val="20"/>
        </w:rPr>
      </w:pPr>
      <w:bookmarkStart w:id="18" w:name="statements_operations_comprehensive_loss"/>
      <w:bookmarkEnd w:id="18"/>
      <w:r>
        <w:rPr>
          <w:rFonts w:ascii="Times New Roman" w:hAnsi="Times New Roman"/>
          <w:b/>
          <w:color w:val="000000"/>
          <w:sz w:val="20"/>
        </w:rPr>
        <w:t>Statements of Operations</w:t>
      </w:r>
      <w:r>
        <w:rPr>
          <w:rFonts w:ascii="Times New Roman" w:hAnsi="Times New Roman"/>
          <w:color w:val="000000"/>
          <w:sz w:val="20"/>
        </w:rPr>
        <w:t xml:space="preserve"> </w:t>
      </w:r>
      <w:r>
        <w:rPr>
          <w:rFonts w:ascii="Times New Roman" w:hAnsi="Times New Roman"/>
          <w:b/>
          <w:color w:val="000000"/>
          <w:sz w:val="20"/>
        </w:rPr>
        <w:t>and Comprehensive Loss</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data)</w:t>
      </w:r>
    </w:p>
    <w:p>
      <w:pPr>
        <w:pStyle w:val="TextBody"/>
        <w:bidi w:val="0"/>
        <w:jc w:val="left"/>
        <w:rPr/>
      </w:pPr>
      <w:r>
        <w:rPr/>
        <w:t> </w:t>
      </w:r>
    </w:p>
    <w:tbl>
      <w:tblPr>
        <w:tblW w:w="7549" w:type="dxa"/>
        <w:jc w:val="left"/>
        <w:tblInd w:w="0" w:type="dxa"/>
        <w:tblLayout w:type="fixed"/>
        <w:tblCellMar>
          <w:top w:w="28" w:type="dxa"/>
          <w:left w:w="28" w:type="dxa"/>
          <w:bottom w:w="28" w:type="dxa"/>
          <w:right w:w="28" w:type="dxa"/>
        </w:tblCellMar>
      </w:tblPr>
      <w:tblGrid>
        <w:gridCol w:w="4006"/>
        <w:gridCol w:w="146"/>
        <w:gridCol w:w="211"/>
        <w:gridCol w:w="1036"/>
        <w:gridCol w:w="166"/>
        <w:gridCol w:w="146"/>
        <w:gridCol w:w="211"/>
        <w:gridCol w:w="1036"/>
        <w:gridCol w:w="591"/>
      </w:tblGrid>
      <w:tr>
        <w:trPr/>
        <w:tc>
          <w:tcPr>
            <w:tcW w:w="4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(128,194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(108,790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unrealized (loss)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(108,124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used in</w:t>
              <w:br/>
              <w:t>   computing basic and diluted 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73,991,197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67,865,323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stockholders_equity"/>
      <w:bookmarkEnd w:id="19"/>
      <w:r>
        <w:rPr>
          <w:rFonts w:ascii="Times New Roman" w:hAnsi="Times New Roman"/>
          <w:b/>
          <w:color w:val="000000"/>
          <w:sz w:val="20"/>
        </w:rPr>
        <w:t>NKARTA, INC.</w:t>
      </w:r>
    </w:p>
    <w:p>
      <w:pPr>
        <w:pStyle w:val="TextBody"/>
        <w:bidi w:val="0"/>
        <w:jc w:val="center"/>
        <w:rPr>
          <w:rFonts w:ascii="Times New Roman" w:hAnsi="Times New Roman"/>
          <w:b/>
          <w:color w:val="000000"/>
          <w:sz w:val="20"/>
        </w:rPr>
      </w:pPr>
      <w:bookmarkStart w:id="20" w:name="statements_convertible_preferred_stock_s"/>
      <w:bookmarkEnd w:id="20"/>
      <w:r>
        <w:rPr>
          <w:rFonts w:ascii="Times New Roman" w:hAnsi="Times New Roman"/>
          <w:b/>
          <w:color w:val="000000"/>
          <w:sz w:val="20"/>
        </w:rPr>
        <w:t>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data)</w:t>
      </w:r>
    </w:p>
    <w:p>
      <w:pPr>
        <w:pStyle w:val="TextBody"/>
        <w:bidi w:val="0"/>
        <w:jc w:val="left"/>
        <w:rPr/>
      </w:pPr>
      <w:r>
        <w:rPr/>
        <w:t> </w:t>
      </w:r>
    </w:p>
    <w:tbl>
      <w:tblPr>
        <w:tblW w:w="8311" w:type="dxa"/>
        <w:jc w:val="left"/>
        <w:tblInd w:w="0" w:type="dxa"/>
        <w:tblLayout w:type="fixed"/>
        <w:tblCellMar>
          <w:top w:w="28" w:type="dxa"/>
          <w:left w:w="28" w:type="dxa"/>
          <w:bottom w:w="28" w:type="dxa"/>
          <w:right w:w="28" w:type="dxa"/>
        </w:tblCellMar>
      </w:tblPr>
      <w:tblGrid>
        <w:gridCol w:w="2011"/>
        <w:gridCol w:w="146"/>
        <w:gridCol w:w="146"/>
        <w:gridCol w:w="646"/>
        <w:gridCol w:w="146"/>
        <w:gridCol w:w="146"/>
        <w:gridCol w:w="170"/>
        <w:gridCol w:w="356"/>
        <w:gridCol w:w="146"/>
        <w:gridCol w:w="146"/>
        <w:gridCol w:w="166"/>
        <w:gridCol w:w="496"/>
        <w:gridCol w:w="146"/>
        <w:gridCol w:w="146"/>
        <w:gridCol w:w="186"/>
        <w:gridCol w:w="610"/>
        <w:gridCol w:w="151"/>
        <w:gridCol w:w="146"/>
        <w:gridCol w:w="296"/>
        <w:gridCol w:w="620"/>
        <w:gridCol w:w="151"/>
        <w:gridCol w:w="146"/>
        <w:gridCol w:w="186"/>
        <w:gridCol w:w="610"/>
        <w:gridCol w:w="196"/>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Comprehensive</w:t>
              <w:b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Stockholders'</w:t>
              <w:b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49,181,295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708,706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(435,434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273,285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 xml:space="preserve">Issuance of common stock and </w:t>
              <w:br/>
              <w:t xml:space="preserve">   pre-funded warrants, net of </w:t>
              <w:br/>
              <w:t>   issuance costs of $15,027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21,010,000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225,073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br/>
              <w:t>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144,128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668</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br/>
              <w:t>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165,667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br/>
              <w:t>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144,049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(108,790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(108,790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70,645,139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951,519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(544,224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674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407,976</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br/>
              <w:t>   upon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br/>
              <w:t>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327,242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Issuance of common stock</w:t>
              <w:br/>
              <w:t>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95,520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8,559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(267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(104,084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(104,084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Balance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71,078,531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960,219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(648,308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w:t>
            </w:r>
          </w:p>
        </w:tc>
        <w:tc>
          <w:tcPr>
            <w:tcW w:w="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312,325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sz w:val="20"/>
        </w:rPr>
      </w:pPr>
      <w:bookmarkStart w:id="21" w:name="statements_cash_flows"/>
      <w:bookmarkEnd w:id="21"/>
      <w:r>
        <w:rPr>
          <w:rFonts w:ascii="Times New Roman" w:hAnsi="Times New Roman"/>
          <w:b/>
          <w:color w:val="000000"/>
          <w:sz w:val="20"/>
        </w:rPr>
        <w:t>Statements of</w:t>
      </w:r>
      <w:r>
        <w:rPr>
          <w:rFonts w:ascii="Times New Roman" w:hAnsi="Times New Roman"/>
          <w:color w:val="000000"/>
          <w:sz w:val="20"/>
        </w:rPr>
        <w:t xml:space="preserve"> </w:t>
      </w:r>
      <w:r>
        <w:rPr>
          <w:rFonts w:ascii="Times New Roman" w:hAnsi="Times New Roman"/>
          <w:b/>
          <w:color w:val="000000"/>
          <w:sz w:val="20"/>
        </w:rPr>
        <w:t>Cash Flows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(108,790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Accretion of discount and amortization of premium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Realized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(99,696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(406,376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281,230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(129,555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issuance of common stock and pre-funded warrants,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225,073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employee stock purchase plan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226,084</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Reconciliation of cash, cash equivalents and restricted cash </w:t>
              <w:br/>
              <w:t>   to the balance sheets: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27,873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 of property and equipment recorded in accounts payable and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assets recognized in exchange for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Decrease in right-of-use asset and lease liability due to termination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2" w:name="notes"/>
      <w:bookmarkEnd w:id="22"/>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Notes to the Financial Statements</w:t>
      </w:r>
    </w:p>
    <w:p>
      <w:pPr>
        <w:pStyle w:val="TextBody"/>
        <w:bidi w:val="0"/>
        <w:spacing w:before="360" w:after="283"/>
        <w:jc w:val="left"/>
        <w:rPr>
          <w:rFonts w:ascii="Times New Roman" w:hAnsi="Times New Roman"/>
          <w:sz w:val="20"/>
        </w:rPr>
      </w:pPr>
      <w:r>
        <w:rPr>
          <w:rFonts w:ascii="Times New Roman" w:hAnsi="Times New Roman"/>
          <w:b/>
          <w:color w:val="000000"/>
          <w:sz w:val="20"/>
        </w:rPr>
        <w:t>1. 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Nkarta, Inc. ("Nkarta" or the "Company") was incorporated in the State of Delaware in July 2015. The Company is a biopharmaceutical company developing engineered natural killer ("NK") cell therapies to treat autoimmune diseases. The Company is focused on leveraging the natural potent power of NK cells to identify and kill abnormal cells and recruit adaptive immune effectors to generate responses that are specific and durable. Nkarta is combining its NK-cell expansion platform technology with proprietary cell engineering technologies to generate an abundant supply of NK cells, engineer enhanced NK-cell recognition of therapeutic targets, and improve persistence for sustained activity in the body. Nkarta’s goal is to develop off-the-shelf NK-cell therapy product candidates to improve outcomes for patients. The Company’s operations are based in South San Francisco, California, and it operates in one 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Management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financial statements have been prepared assuming that the Company will continue as a going concern. Since inception, the Company has devoted substantially all of its efforts to organizing and staffing, business planning, raising capital, conducting preclinical studies and initiating clinical studies, and has not realized revenues from its planned principal operations. In addition, the Company has a limited operating history, has incurred operating losses since inception and expects that it will continue to incur net losses into the foreseeable future as it continues its research and development activities. As of December 31, 2025, the Company had an accumulated deficit of $648.3 million and cash, cash equivalents, restricted cash and short-term and long-term investments of $295.1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plans to continue to incur substantial costs to conduct research and development activities for which additional capital will be needed. The Company intends to raise such capital through debt or equity financings or other arrangements to fund operations. Management believes that the Company’s current cash, cash equivalents, and investments will provide sufficient funds to enable the Company to meet its obligations for at least twelve months from the filing date of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Basis of Presentation and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financial statements have been prepared in accordance with U.S. generally accepted accounting principles ("U.S. GAAP").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but not limited to, accruals, fair value of assets and liabilities, impairment of assets, leases,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which potentially subject the Company to concentration of credit risk, consist primarily of cash, cash equivalents and investments. The Company maintains cash, cash equivalents and investments with various high credit quality and are invested through banks and other financial institutions in the United States. Such deposits may be in excess of federally insured limits. Management believes that the Company is not exposed to significant credit risk due to the financial position of the depository institutions in which those deposits are held. The Company has not experienced any losses on deposits since inception.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Comprehensive loss consists of net loss and unrealized gains or losses on investments. The Company displays comprehensive loss and its components as part of the statements of operations and comprehensive loss.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Level 1: </w:t>
      </w:r>
      <w:r>
        <w:rPr>
          <w:rFonts w:ascii="Times New Roman" w:hAnsi="Times New Roman"/>
          <w:color w:val="000000"/>
          <w:sz w:val="20"/>
        </w:rPr>
        <w:t>Observable inputs such as quoted prices in active markets;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Level 2: </w:t>
      </w:r>
      <w:r>
        <w:rPr>
          <w:rFonts w:ascii="Times New Roman" w:hAnsi="Times New Roman"/>
          <w:color w:val="000000"/>
          <w:sz w:val="20"/>
        </w:rPr>
        <w:t>Inputs, other than the quoted prices in active markets, that are observable either directly or indirectly; and</w:t>
      </w:r>
    </w:p>
    <w:p>
      <w:pPr>
        <w:pStyle w:val="TextBody"/>
        <w:bidi w:val="0"/>
        <w:spacing w:before="24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Unobservable inputs in which there is little or no market data, which require the reporting entity to develop its own assumptions.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carrying amounts of prepaid expenses and other current assets, accounts payable, accrued liabilities and other current liabilities approximate their fair value due to the short-term nature of these accounts.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Cash, Cash Equivalents, Investments and Restricted Cash</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considers all highly liquid investments with insignificant interest rate risk and an original maturity of three months or less at the date of purchase to be cash equivalents. Cash includes demand deposits held in readily available checking accounts at a federally insured financial institution. Cash equivalents consist of money market funds, commercial paper, and U.S. Government securities. </w:t>
      </w:r>
    </w:p>
    <w:p>
      <w:pPr>
        <w:pStyle w:val="TextBody"/>
        <w:bidi w:val="0"/>
        <w:spacing w:before="120" w:after="283"/>
        <w:jc w:val="left"/>
        <w:rPr>
          <w:rFonts w:ascii="Times New Roman" w:hAnsi="Times New Roman"/>
          <w:sz w:val="20"/>
        </w:rPr>
      </w:pPr>
      <w:r>
        <w:rPr>
          <w:rFonts w:ascii="Times New Roman" w:hAnsi="Times New Roman"/>
          <w:b/>
          <w:i/>
          <w:color w:val="000000"/>
          <w:sz w:val="20"/>
        </w:rPr>
        <w:t>Investments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Investments consist of corporate debt securities, commercial paper and Government securities, classified as available-for-sale securities and have maturities of greater than three months. The Company has classified its available-for-sale investment securities with maturities less than one year as current assets on the balance sheets because these are considered highly liquid securities and are available for use in current operations and its available-for-sale investment securities with maturities more than one year as non-current assets on the balance sheets. The Company carries these securities at fair value, and reports unrealized gains and losses as a separate component of accumulated other comprehensive income (loss). The cost of debt securities is adjusted for amortization of purchase premiums and accretion of discounts to maturity. Such amortization and accretion is included in interest income in the statements of operations and comprehensive loss. Realized gains and losses on sales of securities are determined using the specific identification method and recorded in other income, net in the statement of operations and comprehensive loss. We review our portfolio of available-for-sale securities, using both quantitative and qualitative factors, to determine if declines in fair value below amortized cost have resulted from a credit-related loss or other factors. If the decline in fair value is due to credit-related factors, we recognize a loss in the statement of operations, whereas if the decline in fair value is not due to credit-related factors, we recognize the loss in comprehensive loss.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Cash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required to maintain letters of credit related to its office and lab space leases in South San Francisco. This cash is the collateral for those letters of credit and per the terms of the leases, must remain in place until one to two months after the termination of the leases. As the remaining terms of the leases as of December 31, 2025 is greater than one year, the related restricted cash has been classified as non-current.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which consist of leasehold improvements, furniture and fixtures, research equipment, computers and software and construction-in-progress are stated at cost less accumulated depreciation. Depreciation and amortization is calculated using the straight-line method over the estimated useful lives of the assets, which ranges from three to five years. Leasehold improvements are amortized over the remaining life of the lease at the time the asset is placed into service.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value of long-lived assets, including property and equipment and right-of-use assets, are reviewed for impairment whenever events or changes in circumstances indicate that the asset may not be recoverable. An impairment loss is recognized when the total of estimated future undiscounted cash flows, expected to result from the use of the asset and its eventual disposition, are less than its carrying amount. Impairment, if any, would be assessed using discounted cash flows or other appropriate measures of fair value. During the third quarter of 2025, the Company identified an indicator of impairment of its long-lived assets due to a sustained decline in the trading price of its common stock, which resulted in the Company’s market capitalization falling below its net asset value. There were no changes in the continued intended use of its long-lived assets. The fair value of the right-of-use assets was determined by discounting the estimated cash flows using observed market lease rates for comparable properties and an estimated market participant borrowing rate of 8.5%. The fair value of property and equipment was estimated using trend factors applied to historical cost data, together with estimates of economic depreciation and expected useful lives. Based on the results of the fair value analyses, the Company recognized an impairment charge of $0.8 million related to the right-of-use asset, which was recorded in the statements of operations for the year ended December 31, 2025. The impairment charge is included within general and administrative expenses. No additional impairment charges were recognized subsequent to the third quarter of 2025, and no impairment charge was recorded during 2024.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 severance costs are recorded based on whether the termination benefits are provided under an on-going benefit arrangement or under a one-time benefit arrangement. The Company accounts for on-going termination benefit arrangements, such as those arising from employment agreements, applicable regulations or past practices, in accordance with Accounting Standards Codification (“ASC”) Topic 712, Compensation-Nonretirement Postemployment Benefits (“ASC 712”). Under ASC 712, liabilities for post-employment benefits related to past services and that vest or are accumulated over time are recorded at the time the obligations are probable of being incurred and can be reasonably estimated. The Company accounts for one-time employment benefit arrangements in accordance with ASC Topic 420, Exit or Disposal Cost Obligations (“ASC 420”). One-time termination benefits are expensed at the date the entity notifies the employee, unless the employee must provide future service over a period extending past the minimum notification period, in which case the benefits are expensed ratably over the future service period. Other associated costs are recognized in the period in which the liability is incurred. See Note 14 for additional information on the severance expense that the Company recognized for employees terminated in connection with the reduction in force.</w:t>
      </w:r>
    </w:p>
    <w:p>
      <w:pPr>
        <w:pStyle w:val="TextBody"/>
        <w:bidi w:val="0"/>
        <w:spacing w:before="360" w:after="283"/>
        <w:jc w:val="left"/>
        <w:rPr>
          <w:rFonts w:ascii="Times New Roman" w:hAnsi="Times New Roman"/>
          <w:sz w:val="20"/>
        </w:rPr>
      </w:pPr>
      <w:r>
        <w:rPr>
          <w:rFonts w:ascii="Times New Roman" w:hAnsi="Times New Roman"/>
          <w:b/>
          <w:i/>
          <w:color w:val="000000"/>
          <w:sz w:val="20"/>
        </w:rPr>
        <w:t>Collaborative Arrangements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analyzes its collaboration arrangements to assess whether they are within the scope of Accounting Standards Codification ("ASC") Topic 808, Collaborative Arrangements ("ASC 808"), to determine whether such arrangements involve joint operating activities performed by parties that are both active participants in the activities and exposed to significant risks and rewards that are dependent on the commercial success of such activities. To the extent the arrangement is within the scope of ASC 808, the Company assesses whether aspects of the arrangement between the Company and its collaboration partner are within the scope of other accounting literature, including ASC Topic 606, Revenue from Contracts with Customers ("ASC 606"). If it is concluded that some or all aspects of the arrangement represent a transaction with a customer, the Company will account for those aspects of the arrangement within the scope of ASC 606.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ASC 808 provides guidance for the presentation and disclosure of transactions in collaborative arrangements, but it does not provide recognition or measurement guidance. Therefore, if the Company concludes a counterparty to a transaction is not a customer or otherwise not within the scope of ASC 606, the Company considers the guidance in other accounting literature as applicable or by analogy to account for such transaction. The classification of transactions under the Company’s arrangements is determined based on the nature and contractual terms of the arrangement along with the nature of the operations of the participants.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Research and Development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costs consist primarily of salaries and other benefits of research and development personnel, including associated share-based compensation, costs related to research activities, preclinical studies, clinical trial, drug manufacturing and allocated overhead and facility-related expenses. The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for non-refundable advance payments for goods or services that will be used in future research and development activities as expenses when the goods have been received or when the service has been performed rather than when the payment is made.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trial costs are a component of research and development expenses. The Company expenses costs for its clinical trial activities performed by third parties, including clinical research organizations and other service providers, as they are incurred, based upon estimates of the work completed over the life of the individual study in accordance with associated agreements. The Company uses information it receives from internal personnel and outside service providers to estimate the clinical trial costs incurred.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commencement date of a lease, the Company recognizes lease liabilities which represent its obligation to make lease payments, and right-of-use assets ("ROU assets") which represent its right to use the underlying asset during the lease term. The lease liability is measured at the present value of lease payments over the lease term. As the Company’s leases typically do not provide an implicit rate, the Company uses an incremental borrowing rate based on the information available at the lease commencement date. The ROU asset is measured at cost, which includes the initial measurement of the lease liability and initial direct costs incurred by the Company and excludes lease incentives. ROU assets are recorded in operating lease ROU assets and lease liabilities are recorded in operating lease liabilities, current and noncurrent in the balance sheets. We have elected the practical expedient to account for the lease and non-lease components, such as common area maintenance charges, as a single lease component for our facilities leases, and elected the short-term lease recognition exemption for our short-term leases, under which we do not recognize lease liabilities and ROU assets for leases with an original term of twelve months or less.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terms may include options to extend or terminate the lease when it is reasonably certain that the Company will exercise that option. Operating lease expense is recognized on a straight-line basis over the lease term. The Company does not recognize lease liabilities and ROU assets for short-term leases with terms of twelve months or less.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expense represents the cost of the grant-date fair value of employee, officer, director, and non-employee stock option, employee stock purchase plan, and restricted stock unit grants, estimated in accordance with the applicable accounting guidance, recognized using the straight-line method over the vesting period for service-based options, employee stock purchase plan rights and restricted stock units. The vesting period generally approximates the expected service period of the awards. Forfeitures are recognized and accounted for as they occur.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stock options and employee stock purchase plan rights are estimated using a Black-Scholes option pricing model on the date of grant. This method requires the use of the fair value of the underlying common stock and certain assumptions as inputs, including the expected term of the option before exercise, expected volatility of the Company’s common stock, expected dividend yield, and a risk-free interest rate. Options granted during the year have a maximum contractual term of ten years. The Company has limited historical stock option activity and therefore estimates the expected term of stock options granted using the simplified method, which represents the average of the contractual term of the stock option and its weighted-average vesting period. The expected term of the employee stock purchase plan rights equals the six-month look-back period. The expected volatility is determined by using a blended approach of the Company's historical stock price volatility and the historical stock price volatility for a select group of other publicly traded companies in the same industry. The Company has historically not declared or paid any dividends and does not currently expect to do so in the foreseeable future. The risk-free interest rates used are based on the U.S. Department of Treasury ("U.S. Treasury") yield in effect at the time of grant for zero-coupon U.S. Treasury notes with maturities approximately equal to the expected term of the stock options. The fair value of restricted stock units is based on the closing price of the Company's common stock as reported on The Nasdaq Global Select Market on the date of grant.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Income taxes have been accounted for using the asset and liability method. Under the asset and liability method, deferred tax assets and liabilities are recognized for the future tax consequences attributable to differences between the financial carrying amounts of existing assets and liabilities and their respective tax bases and operating loss and tax credit carryforwards. Deferred tax assets and liabilities are measured using enacted tax rates applicable to taxable income in the years in which those temporary differences are expected to be recovered or settled. The effect on deferred tax assets and liabilities of a change in tax rates is recognized in income in the period that includes the enactment date. A valuation allowance against deferred tax assets is recorded if, based upon the weight of all available evidence, it is more likely than not that some or all of the deferred tax assets will not be realized.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chief operating decision maker ("CODM"), its Chief Executive Officer, manages its operations and business as one operating segment for the purposes of allocating resources, makes operating decisions and evaluates financial performance. No product revenue has been generated since inception and all assets are held in the United States.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net loss per share is calculated by dividing the net loss by the weighted-average number of common shares outstanding for the period, without consideration of potential dilutive securities. Pre-funded warrants are considered outstanding for the purposes of computing basic and diluted net loss per share because shares may be issued for little or no additional consideration and are fully vested and exercisable after the original issuance date of the pre-funded warrants. Diluted net loss per share is computed by dividing the net loss by the sum of the weighted average number of common shares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unvested common stock, unvested restricted stock options, and outstanding stock options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Adopted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December 2023, the FASB issued ASU No.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("ASU 2023-09").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The Company adopted this standard in the fiscal year beginning January 1, 2025 and implemented the applicable disclosure requirements within this annual report on a prospective basis.</w:t>
      </w:r>
    </w:p>
    <w:p>
      <w:pPr>
        <w:pStyle w:val="TextBody"/>
        <w:bidi w:val="0"/>
        <w:spacing w:before="240" w:after="283"/>
        <w:jc w:val="left"/>
        <w:rPr>
          <w:rFonts w:ascii="Times New Roman" w:hAnsi="Times New Roman"/>
          <w:sz w:val="20"/>
        </w:rPr>
      </w:pPr>
      <w:r>
        <w:rPr>
          <w:rFonts w:ascii="Times New Roman" w:hAnsi="Times New Roman"/>
          <w:b/>
          <w:i/>
          <w:color w:val="000000"/>
          <w:sz w:val="20"/>
        </w:rPr>
        <w:t>Accounting Pronouncements Not Yet Adopted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xml:space="preserve"> (“ASU 2024-03"). In January 2025, the FASB issued ASU 2025-0, </w:t>
      </w:r>
      <w:r>
        <w:rPr>
          <w:rFonts w:ascii="Times New Roman" w:hAnsi="Times New Roman"/>
          <w:i/>
          <w:color w:val="000000"/>
          <w:sz w:val="20"/>
        </w:rPr>
        <w:t>Income Statement—Reporting Comprehensive Income—Expense Disaggregation Disclosures (Subtopic 220-40): Clarifying the Effective Date</w:t>
      </w:r>
      <w:r>
        <w:rPr>
          <w:rFonts w:ascii="Times New Roman" w:hAnsi="Times New Roman"/>
          <w:color w:val="000000"/>
          <w:sz w:val="20"/>
        </w:rPr>
        <w:t xml:space="preserve">, to clarify the effective date of ASU 2024-03. These amendments require public entities to disclose specified information about certain costs and expenses on an interim and annual basis and is effective for annual reporting periods beginning after December 15, 2026 and interim periods beginning after December 15, 2027, with early adoption permitted. The new standards are expected to be applied prospectively, but retrospective application is permitted. The Company is currently evaluating the impact on the financial statements and related disclosures.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were no other significant updates to the recently issued accounting standards other than as disclosed herewith. Although there are several other new accounting pronouncements issued or proposed by the FASB, the Company does not believe any of those accounting pronouncements have had or will have a material impact on its financial position or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computation of the basic and diluted net loss per share (in thousands except share and per share data):</w:t>
      </w:r>
    </w:p>
    <w:p>
      <w:pPr>
        <w:pStyle w:val="TextBody"/>
        <w:bidi w:val="0"/>
        <w:jc w:val="left"/>
        <w:rPr/>
      </w:pPr>
      <w:r>
        <w:rPr/>
        <w:t> </w:t>
      </w:r>
    </w:p>
    <w:tbl>
      <w:tblPr>
        <w:tblW w:w="7514" w:type="dxa"/>
        <w:jc w:val="left"/>
        <w:tblInd w:w="0" w:type="dxa"/>
        <w:tblLayout w:type="fixed"/>
        <w:tblCellMar>
          <w:top w:w="28" w:type="dxa"/>
          <w:left w:w="28" w:type="dxa"/>
          <w:bottom w:w="28" w:type="dxa"/>
          <w:right w:w="28" w:type="dxa"/>
        </w:tblCellMar>
      </w:tblPr>
      <w:tblGrid>
        <w:gridCol w:w="4171"/>
        <w:gridCol w:w="146"/>
        <w:gridCol w:w="211"/>
        <w:gridCol w:w="1036"/>
        <w:gridCol w:w="166"/>
        <w:gridCol w:w="146"/>
        <w:gridCol w:w="211"/>
        <w:gridCol w:w="1036"/>
        <w:gridCol w:w="391"/>
      </w:tblGrid>
      <w:tr>
        <w:trPr/>
        <w:tc>
          <w:tcPr>
            <w:tcW w:w="41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(108,790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70,991,166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65,570,217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weighted average of common stock to be</w:t>
              <w:br/>
              <w:t>   issued upon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2,295,106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w:t>
              <w:br/>
              <w:t>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73,991,197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67,865,323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following table summarizes the outstanding potentially dilutive securities that have been excluded in the calculation of diluted net loss per share because their inclusion would be anti-dilutive:</w:t>
      </w:r>
    </w:p>
    <w:p>
      <w:pPr>
        <w:pStyle w:val="TextBody"/>
        <w:bidi w:val="0"/>
        <w:jc w:val="left"/>
        <w:rPr/>
      </w:pPr>
      <w:r>
        <w:rPr/>
        <w:t> </w:t>
      </w:r>
    </w:p>
    <w:tbl>
      <w:tblPr>
        <w:tblW w:w="5004" w:type="dxa"/>
        <w:jc w:val="left"/>
        <w:tblInd w:w="0" w:type="dxa"/>
        <w:tblLayout w:type="fixed"/>
        <w:tblCellMar>
          <w:top w:w="28" w:type="dxa"/>
          <w:left w:w="28" w:type="dxa"/>
          <w:bottom w:w="28" w:type="dxa"/>
          <w:right w:w="28" w:type="dxa"/>
        </w:tblCellMar>
      </w:tblPr>
      <w:tblGrid>
        <w:gridCol w:w="2011"/>
        <w:gridCol w:w="146"/>
        <w:gridCol w:w="146"/>
        <w:gridCol w:w="1036"/>
        <w:gridCol w:w="146"/>
        <w:gridCol w:w="146"/>
        <w:gridCol w:w="146"/>
        <w:gridCol w:w="1036"/>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10,737,203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9,069,194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1,167,911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11,386,162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10,237,105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tables summarize the fair value of the Company’s financial instruments (in thousands). Prior period amounts have been reclassified to conform to the current period presentation:</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83"/>
        <w:gridCol w:w="146"/>
        <w:gridCol w:w="228"/>
        <w:gridCol w:w="845"/>
        <w:gridCol w:w="146"/>
        <w:gridCol w:w="146"/>
        <w:gridCol w:w="358"/>
        <w:gridCol w:w="1148"/>
        <w:gridCol w:w="146"/>
        <w:gridCol w:w="146"/>
        <w:gridCol w:w="284"/>
        <w:gridCol w:w="1052"/>
        <w:gridCol w:w="146"/>
        <w:gridCol w:w="146"/>
        <w:gridCol w:w="564"/>
        <w:gridCol w:w="925"/>
        <w:gridCol w:w="796"/>
      </w:tblGrid>
      <w:tr>
        <w:trPr/>
        <w:tc>
          <w:tcPr>
            <w:tcW w:w="2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 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w:t>
              <w:br/>
              <w:t>Unobservable Inputs</w:t>
              <w:br/>
              <w:t>(Level 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83"/>
        <w:gridCol w:w="146"/>
        <w:gridCol w:w="228"/>
        <w:gridCol w:w="845"/>
        <w:gridCol w:w="146"/>
        <w:gridCol w:w="146"/>
        <w:gridCol w:w="358"/>
        <w:gridCol w:w="1148"/>
        <w:gridCol w:w="146"/>
        <w:gridCol w:w="146"/>
        <w:gridCol w:w="284"/>
        <w:gridCol w:w="1052"/>
        <w:gridCol w:w="146"/>
        <w:gridCol w:w="146"/>
        <w:gridCol w:w="564"/>
        <w:gridCol w:w="925"/>
        <w:gridCol w:w="796"/>
      </w:tblGrid>
      <w:tr>
        <w:trPr/>
        <w:tc>
          <w:tcPr>
            <w:tcW w:w="2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w:t>
              <w:br/>
              <w:t>in Active Markets for</w:t>
              <w:br/>
              <w:t>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w:t>
              <w:br/>
              <w:t>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Significant </w:t>
              <w:br/>
              <w:t>Unobservable Inputs</w:t>
              <w:br/>
              <w:t>(Level 3)</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8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377,185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351,568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market participant estimated borrowing rate of 8.5% that was utilized in the discounted cash flow analysis for the impairment of the right-of-use assets is an unobservable Level 3 input.</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Equivalents and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assets measured at fair value on a recurring basis consist of the Company’s cash equivalents and investments. Cash equivalents consisted of money market funds, commercial paper, and Government securities and investments consisted of commercial paper, corporate debt securities and Government securities. The Company obtains pricing information from its investment manager and determines the fair value of investment securities using standard observable inputs, including reported trades, broker/dealer quotes, and bids and/or offers.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are classified as Level 1 within the fair value hierarchy if their quoted prices are available in active markets for identical securities. Investments in money market funds of $33.9 million and $25.6 million included in cash equivalents as of December 31, 2025 and 2024, respectively, were classified as Level 1 instruments.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in corporate debt securities, commercial paper and Government securities included in short-term and long-term investments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classified its investment securities as current and non-current assets on the balance sheets based on each security's maturity date, and all investment securities are accounted for as available-for-sale because these investment securities are considered available for use in operations. All of our long-term investments as of December 31, 2025 had maturities between one and two years.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tables summarize the Company’s investments as of December 31, 2025 and 2024 (in thousands):</w:t>
      </w:r>
    </w:p>
    <w:p>
      <w:pPr>
        <w:pStyle w:val="TextBody"/>
        <w:bidi w:val="0"/>
        <w:jc w:val="left"/>
        <w:rPr/>
      </w:pPr>
      <w:r>
        <w:rPr/>
        <w:t> </w:t>
      </w:r>
    </w:p>
    <w:tbl>
      <w:tblPr>
        <w:tblW w:w="9882" w:type="dxa"/>
        <w:jc w:val="left"/>
        <w:tblInd w:w="0" w:type="dxa"/>
        <w:tblLayout w:type="fixed"/>
        <w:tblCellMar>
          <w:top w:w="28" w:type="dxa"/>
          <w:left w:w="28" w:type="dxa"/>
          <w:bottom w:w="28" w:type="dxa"/>
          <w:right w:w="28" w:type="dxa"/>
        </w:tblCellMar>
      </w:tblPr>
      <w:tblGrid>
        <w:gridCol w:w="2911"/>
        <w:gridCol w:w="146"/>
        <w:gridCol w:w="1636"/>
        <w:gridCol w:w="146"/>
        <w:gridCol w:w="211"/>
        <w:gridCol w:w="781"/>
        <w:gridCol w:w="146"/>
        <w:gridCol w:w="146"/>
        <w:gridCol w:w="335"/>
        <w:gridCol w:w="551"/>
        <w:gridCol w:w="166"/>
        <w:gridCol w:w="146"/>
        <w:gridCol w:w="295"/>
        <w:gridCol w:w="591"/>
        <w:gridCol w:w="146"/>
        <w:gridCol w:w="146"/>
        <w:gridCol w:w="211"/>
        <w:gridCol w:w="781"/>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Greater than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Greater than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Greater than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882" w:type="dxa"/>
        <w:jc w:val="left"/>
        <w:tblInd w:w="0" w:type="dxa"/>
        <w:tblLayout w:type="fixed"/>
        <w:tblCellMar>
          <w:top w:w="28" w:type="dxa"/>
          <w:left w:w="28" w:type="dxa"/>
          <w:bottom w:w="28" w:type="dxa"/>
          <w:right w:w="28" w:type="dxa"/>
        </w:tblCellMar>
      </w:tblPr>
      <w:tblGrid>
        <w:gridCol w:w="2911"/>
        <w:gridCol w:w="146"/>
        <w:gridCol w:w="1636"/>
        <w:gridCol w:w="146"/>
        <w:gridCol w:w="211"/>
        <w:gridCol w:w="781"/>
        <w:gridCol w:w="146"/>
        <w:gridCol w:w="146"/>
        <w:gridCol w:w="270"/>
        <w:gridCol w:w="616"/>
        <w:gridCol w:w="166"/>
        <w:gridCol w:w="146"/>
        <w:gridCol w:w="295"/>
        <w:gridCol w:w="591"/>
        <w:gridCol w:w="146"/>
        <w:gridCol w:w="146"/>
        <w:gridCol w:w="211"/>
        <w:gridCol w:w="781"/>
        <w:gridCol w:w="39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78,691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 year or 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Greater than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Greater than 1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Greater than 1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349,199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349,873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considers whether unrealized losses have resulted from a credit loss or other factors. The unrealized losses on the Company’s available-for-sale securities as of December 31, 2025 and 2024 were caused by fluctuations in market value and interest rates as a result of the economic environment and not credit risk. The Company concluded that an allowance for credit losses was unnecessary as of December 31, 2025 and 2024. It is neither management’s intention to sell nor is it more likely than not that the Company will be required to sell these investments prior to recovery of their cost basis or recovery of fair value. During the twelve months ended December 31, 2025, the Company received $37.0 million in proceeds from available-for-sale securities called prior to maturity, resulting in an immaterial realized gain and included within maturities of investments. The available-for-sale securities were called within 90 days of the stated maturity. No investments were sold or called prior to their original maturity date during 2024. Unrealized gains and losses are included in accumulated other comprehensive income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excludes accrued interest from both the fair value and the amortized cost basis of the available-for-sale debt securities for the purposes of identifying and measuring an impairment and to not measure an allowance for expected credit losses for accrued interest receivables. Accrued interest receivable is written off through net realized investment gains (losses) at the time the issuer of the bond defaults or is expected to default on payment. It is the Company's policy to present the accrued interest receivable balance as part of prepaid expenses and other current assets in the balance sheets. Accrued interest receivable related to investments was $2.0 million and $2.5 million as of December 31, 2025 and 2024, respectively.</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Prepaid expenses and other current assets are comprised of the following (in thousands):</w:t>
      </w:r>
    </w:p>
    <w:p>
      <w:pPr>
        <w:pStyle w:val="TextBody"/>
        <w:bidi w:val="0"/>
        <w:jc w:val="left"/>
        <w:rPr/>
      </w:pPr>
      <w:r>
        <w:rPr/>
        <w:t> </w:t>
      </w:r>
    </w:p>
    <w:tbl>
      <w:tblPr>
        <w:tblW w:w="6524" w:type="dxa"/>
        <w:jc w:val="left"/>
        <w:tblInd w:w="0" w:type="dxa"/>
        <w:tblLayout w:type="fixed"/>
        <w:tblCellMar>
          <w:top w:w="28" w:type="dxa"/>
          <w:left w:w="28" w:type="dxa"/>
          <w:bottom w:w="28" w:type="dxa"/>
          <w:right w:w="28" w:type="dxa"/>
        </w:tblCellMar>
      </w:tblPr>
      <w:tblGrid>
        <w:gridCol w:w="4131"/>
        <w:gridCol w:w="146"/>
        <w:gridCol w:w="211"/>
        <w:gridCol w:w="571"/>
        <w:gridCol w:w="146"/>
        <w:gridCol w:w="146"/>
        <w:gridCol w:w="211"/>
        <w:gridCol w:w="571"/>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net is comprised of the following (in thousands):</w:t>
      </w:r>
    </w:p>
    <w:p>
      <w:pPr>
        <w:pStyle w:val="TextBody"/>
        <w:bidi w:val="0"/>
        <w:jc w:val="left"/>
        <w:rPr/>
      </w:pPr>
      <w:r>
        <w:rPr/>
        <w:t> </w:t>
      </w:r>
    </w:p>
    <w:tbl>
      <w:tblPr>
        <w:tblW w:w="6814" w:type="dxa"/>
        <w:jc w:val="left"/>
        <w:tblInd w:w="0" w:type="dxa"/>
        <w:tblLayout w:type="fixed"/>
        <w:tblCellMar>
          <w:top w:w="28" w:type="dxa"/>
          <w:left w:w="28" w:type="dxa"/>
          <w:bottom w:w="28" w:type="dxa"/>
          <w:right w:w="28" w:type="dxa"/>
        </w:tblCellMar>
      </w:tblPr>
      <w:tblGrid>
        <w:gridCol w:w="4051"/>
        <w:gridCol w:w="146"/>
        <w:gridCol w:w="211"/>
        <w:gridCol w:w="736"/>
        <w:gridCol w:w="166"/>
        <w:gridCol w:w="146"/>
        <w:gridCol w:w="211"/>
        <w:gridCol w:w="736"/>
        <w:gridCol w:w="4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66,618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95,503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and amortization expense was $9.2 million for each of the years ended December 31, 2025 and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Accrued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and other current liabilities are comprised of the following (in thousands):</w:t>
      </w:r>
    </w:p>
    <w:p>
      <w:pPr>
        <w:pStyle w:val="TextBody"/>
        <w:bidi w:val="0"/>
        <w:jc w:val="left"/>
        <w:rPr/>
      </w:pPr>
      <w:r>
        <w:rPr/>
        <w:t> </w:t>
      </w:r>
    </w:p>
    <w:tbl>
      <w:tblPr>
        <w:tblW w:w="6009" w:type="dxa"/>
        <w:jc w:val="left"/>
        <w:tblInd w:w="0" w:type="dxa"/>
        <w:tblLayout w:type="fixed"/>
        <w:tblCellMar>
          <w:top w:w="28" w:type="dxa"/>
          <w:left w:w="28" w:type="dxa"/>
          <w:bottom w:w="28" w:type="dxa"/>
          <w:right w:w="28" w:type="dxa"/>
        </w:tblCellMar>
      </w:tblPr>
      <w:tblGrid>
        <w:gridCol w:w="3406"/>
        <w:gridCol w:w="146"/>
        <w:gridCol w:w="211"/>
        <w:gridCol w:w="676"/>
        <w:gridCol w:w="146"/>
        <w:gridCol w:w="146"/>
        <w:gridCol w:w="211"/>
        <w:gridCol w:w="676"/>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and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12,229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operating leases for its current corporate offices, laboratory space, manufacturing facility, and dedicated space in a vivarium in South San Francisco, California.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lease expense were as follows (in thousands):</w:t>
      </w:r>
    </w:p>
    <w:p>
      <w:pPr>
        <w:pStyle w:val="TextBody"/>
        <w:bidi w:val="0"/>
        <w:jc w:val="left"/>
        <w:rPr/>
      </w:pPr>
      <w:r>
        <w:rPr/>
        <w:t> </w:t>
      </w:r>
    </w:p>
    <w:tbl>
      <w:tblPr>
        <w:tblW w:w="4779" w:type="dxa"/>
        <w:jc w:val="left"/>
        <w:tblInd w:w="0" w:type="dxa"/>
        <w:tblLayout w:type="fixed"/>
        <w:tblCellMar>
          <w:top w:w="28" w:type="dxa"/>
          <w:left w:w="28" w:type="dxa"/>
          <w:bottom w:w="28" w:type="dxa"/>
          <w:right w:w="28" w:type="dxa"/>
        </w:tblCellMar>
      </w:tblPr>
      <w:tblGrid>
        <w:gridCol w:w="2176"/>
        <w:gridCol w:w="146"/>
        <w:gridCol w:w="211"/>
        <w:gridCol w:w="676"/>
        <w:gridCol w:w="146"/>
        <w:gridCol w:w="146"/>
        <w:gridCol w:w="211"/>
        <w:gridCol w:w="676"/>
        <w:gridCol w:w="391"/>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Variable lease expense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11,825</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Variable lease expense for the periods presented primarily included common area maintenance charges.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Supplemental information related to operating leases were as follows (in thousands):</w:t>
      </w:r>
    </w:p>
    <w:tbl>
      <w:tblPr>
        <w:tblW w:w="8404" w:type="dxa"/>
        <w:jc w:val="left"/>
        <w:tblInd w:w="0" w:type="dxa"/>
        <w:tblLayout w:type="fixed"/>
        <w:tblCellMar>
          <w:top w:w="28" w:type="dxa"/>
          <w:left w:w="28" w:type="dxa"/>
          <w:bottom w:w="28" w:type="dxa"/>
          <w:right w:w="28" w:type="dxa"/>
        </w:tblCellMar>
      </w:tblPr>
      <w:tblGrid>
        <w:gridCol w:w="6001"/>
        <w:gridCol w:w="146"/>
        <w:gridCol w:w="211"/>
        <w:gridCol w:w="676"/>
        <w:gridCol w:w="146"/>
        <w:gridCol w:w="146"/>
        <w:gridCol w:w="211"/>
        <w:gridCol w:w="676"/>
        <w:gridCol w:w="191"/>
      </w:tblGrid>
      <w:tr>
        <w:trPr/>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used for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weighted-average remaining lease term was 8.1 years for the corporate office and laboratory space leases as of December 31, 2025. The corporate office lease includes an option to renew for an additional seven years. However, the renewal option was not included in the lease term for calculating the lease liability, as the renewal option allows the Company to maintain operational flexibility, and the Company was not reasonably certain that it would exercise the renewal option at the time of the lease commencement. The weighted-average discount rate was 9.7% as of December 31,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Maturities of operating lease liabilities under existing operating leases as of December 31, 2025 were as follows (in thousands):</w:t>
      </w:r>
    </w:p>
    <w:p>
      <w:pPr>
        <w:pStyle w:val="TextBody"/>
        <w:bidi w:val="0"/>
        <w:jc w:val="left"/>
        <w:rPr/>
      </w:pPr>
      <w:r>
        <w:rPr/>
        <w:t> </w:t>
      </w:r>
    </w:p>
    <w:tbl>
      <w:tblPr>
        <w:tblW w:w="4605" w:type="dxa"/>
        <w:jc w:val="left"/>
        <w:tblInd w:w="0" w:type="dxa"/>
        <w:tblLayout w:type="fixed"/>
        <w:tblCellMar>
          <w:top w:w="28" w:type="dxa"/>
          <w:left w:w="28" w:type="dxa"/>
          <w:bottom w:w="28" w:type="dxa"/>
          <w:right w:w="28" w:type="dxa"/>
        </w:tblCellMar>
      </w:tblPr>
      <w:tblGrid>
        <w:gridCol w:w="2956"/>
        <w:gridCol w:w="146"/>
        <w:gridCol w:w="211"/>
        <w:gridCol w:w="781"/>
        <w:gridCol w:w="51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9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13,924</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13,927</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111,822</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76,420</w:t>
            </w:r>
          </w:p>
        </w:tc>
        <w:tc>
          <w:tcPr>
            <w:tcW w:w="5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76,420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Initial Lease Agreement</w:t>
      </w:r>
    </w:p>
    <w:p>
      <w:pPr>
        <w:pStyle w:val="TextBody"/>
        <w:bidi w:val="0"/>
        <w:spacing w:before="240" w:after="283"/>
        <w:jc w:val="left"/>
        <w:rPr>
          <w:rFonts w:ascii="Times New Roman" w:hAnsi="Times New Roman"/>
          <w:sz w:val="20"/>
        </w:rPr>
      </w:pPr>
      <w:r>
        <w:rPr>
          <w:rFonts w:ascii="Times New Roman" w:hAnsi="Times New Roman"/>
          <w:color w:val="000000"/>
          <w:sz w:val="20"/>
        </w:rPr>
        <w:t>In May 2018, the Company entered into a lease agreement for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In May 2020, the Company executed the second amendment to the Initial Lease Agreement for additional corporate space and laboratory space in the same building. The lease for this additional space commenced in January 2021. In January 2021, the Company signed a third amendment to the Initial Lease Agreement for additional space in the same building. The lease amendment for this additional space commenced in April 2021 and expired in March 2024.</w:t>
      </w:r>
      <w:r>
        <w:rPr>
          <w:rFonts w:ascii="Times New Roman" w:hAnsi="Times New Roman"/>
          <w:color w:val="FF0000"/>
          <w:sz w:val="20"/>
        </w:rPr>
        <w:t xml:space="preserve"> </w:t>
      </w:r>
      <w:r>
        <w:rPr>
          <w:rFonts w:ascii="Times New Roman" w:hAnsi="Times New Roman"/>
          <w:color w:val="000000"/>
          <w:sz w:val="20"/>
        </w:rPr>
        <w:t xml:space="preserve">In October 2021, the Company signed a fourth amendment to the Initial Lease Agreement for additional space in the same building, that commenced in April 2022. All space leased under the Initial Lease Agreement, together with the first amendment, second amendment, and fourth amendment to the Initial Lease Agreement, has a lease term through July 31, 2030, with an option to extend the lease for an additional seven-year term. This lease extension option was not considered in the right-of-use assets or the lease liability as the Company did not consider it reasonably certain the option would be exercised. In December 2024, the Company executed a sixth amendment to the Initial Lease Agreement, which updated the lease termination date for one of the spaces in the same building to July 31, 2025. In connection with the amendment, the Company agreed to pay the landlord a termination fee of $1.1 million, $0.6 million of which was paid in December 2024 and the remaining paid in July 2025. As a result of the modification, the Company decreased its right-of-use asset and lease liability each by $2.2 million. </w:t>
      </w:r>
    </w:p>
    <w:p>
      <w:pPr>
        <w:pStyle w:val="TextBody"/>
        <w:bidi w:val="0"/>
        <w:spacing w:before="240" w:after="283"/>
        <w:jc w:val="left"/>
        <w:rPr>
          <w:rFonts w:ascii="Times New Roman" w:hAnsi="Times New Roman"/>
          <w:sz w:val="20"/>
        </w:rPr>
      </w:pPr>
      <w:r>
        <w:rPr>
          <w:rFonts w:ascii="Times New Roman" w:hAnsi="Times New Roman"/>
          <w:i/>
          <w:color w:val="000000"/>
          <w:sz w:val="20"/>
        </w:rPr>
        <w:t>Additional Lease Agreement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In July 2021, the Company entered into an additional lease agreement for corporate office, manufacturing and laboratory space located in South San Francisco, California with an expiration date approximately twelve years after the lease commencement date (as amended from time to time, the "Additional Lease Agreement"). The lease for this additional space and the Company's obligation to pay rent commenced in January 2022. In addition to ba</w:t>
      </w:r>
      <w:r>
        <w:rPr>
          <w:rFonts w:ascii="Times New Roman" w:hAnsi="Times New Roman"/>
          <w:color w:val="212529"/>
          <w:sz w:val="20"/>
        </w:rPr>
        <w:t>se rent, the Company is responsible for payment of direct expenses, which include operating, insurance and tax expenses. The Additional Lease Agreement provided for certain tenant improvement allowances that were fully utilized and reimbursed to the Company, and an additional tenant improvement allowance to be utilized at the option of the Company. In June 2023, the Company entered into an amendment to utilize the additional tenant improvement allowance of $4.4 million and under this amendment the Company is required to repay the tenant improvement costs in equal monthly payments at an annual rate of 8.5% over the remainder of the lease term starting in July 2023.</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Vivarium Lease Agreement</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October 2025, </w:t>
      </w:r>
      <w:r>
        <w:rPr>
          <w:rFonts w:ascii="Times New Roman" w:hAnsi="Times New Roman"/>
          <w:color w:val="212529"/>
          <w:sz w:val="20"/>
        </w:rPr>
        <w:t xml:space="preserve">the Company entered into a lease modification agreement for </w:t>
      </w:r>
      <w:r>
        <w:rPr>
          <w:rFonts w:ascii="Times New Roman" w:hAnsi="Times New Roman"/>
          <w:color w:val="000000"/>
          <w:sz w:val="20"/>
        </w:rPr>
        <w:t xml:space="preserve">dedicated space in a vivarium in South San Francisco, California, with an expiration date of December 31, 2028. As a result of the modification agreement in 2025, the Company increased its right-of-use asset and lease liability each by $1.1 million.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Sublease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September 2024 and November 2024, the Company entered into agreements to sublease a portion of the Company's leased corporate office space through November 2027 and July 2030, respectively. The sublease agreements both commenced during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fourth quarter of 2024 and rent payments commenced in 2025. The Company accounts for the sublease agreements in accordance with ASC 842, Leases. Sublease income during the years ended December 31, 2025 and 2024, was not material.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7.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Guarantee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December 31, 2025 and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Letters of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$2.7 million in letter of credit agreements with a financial institution that are used as collateral for the Company’s corporate headquarters’ operating leases. The letters of credit automatically renew annually without amendment unless cancelled by the financial institutions within 30 to 60 days of the annual expiration date. The letters of credit are presented as restricted cash in the balance sheets.</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from time to time, may be involved in litigation arising in the ordinary course of business. The Company assesses its potential liability in such situations by analyzing potential outcomes, assuming various litigation, regulatory and settlement strategies. If the Company determines a loss is probable and its amount can be reasonably estimated, the Company accrues an amount equal to the estimated loss. No losses and no provision for a loss contingency have been recorded to date. </w:t>
      </w:r>
    </w:p>
    <w:p>
      <w:pPr>
        <w:pStyle w:val="TextBody"/>
        <w:bidi w:val="0"/>
        <w:spacing w:before="240" w:after="283"/>
        <w:jc w:val="left"/>
        <w:rPr>
          <w:rFonts w:ascii="Times New Roman" w:hAnsi="Times New Roman"/>
          <w:sz w:val="20"/>
        </w:rPr>
      </w:pPr>
      <w:r>
        <w:rPr>
          <w:rFonts w:ascii="Times New Roman" w:hAnsi="Times New Roman"/>
          <w:b/>
          <w:i/>
          <w:color w:val="000000"/>
          <w:sz w:val="20"/>
        </w:rPr>
        <w:t>Purchase Commitments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for clinical trials, preclinical studies, manufacturing and other services and products for operating purposes. These contracts generally provide for termination following a certain period after notice and therefore the Company believes that non-cancelable obligations under these agreements are not material.</w:t>
      </w:r>
    </w:p>
    <w:p>
      <w:pPr>
        <w:pStyle w:val="TextBody"/>
        <w:bidi w:val="0"/>
        <w:spacing w:before="240" w:after="283"/>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8. Collaboration and License Agreements</w:t>
      </w:r>
    </w:p>
    <w:p>
      <w:pPr>
        <w:pStyle w:val="TextBody"/>
        <w:bidi w:val="0"/>
        <w:spacing w:before="200" w:after="283"/>
        <w:jc w:val="left"/>
        <w:rPr>
          <w:rFonts w:ascii="Times New Roman" w:hAnsi="Times New Roman"/>
          <w:sz w:val="20"/>
        </w:rPr>
      </w:pPr>
      <w:r>
        <w:rPr>
          <w:rFonts w:ascii="Times New Roman" w:hAnsi="Times New Roman"/>
          <w:b/>
          <w:color w:val="000000"/>
          <w:sz w:val="20"/>
        </w:rPr>
        <w:t>CRISPR Collaboration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5, 2021, the Company entered into a Research Collaboration Agreement with CRISPR (as amended, the "CRISPR Agreement") to co-develop and co-commercialize an allogeneic, off-the-shelf CAR NK product candidate targeting the CD70 tumor antigen and an allogeneic, off-the-shelf product candidate that comprises both engineered NK cells and engineered T cells. The Company and CRISPR have entered into a number of amendments to the CRISPR Agreement to, among other things, revise the transfer of materials, nomination provisions, permit the Company's advancement of CRISPR-licensed product candidates targeting a specified tumor antigen (the "Specified TA"), and incorporate associated development and regulatory approval milestones and sales based royalties. In addition, the Company has received licenses from CRISPR for five CRISPR-Cas9 gene editing targets that can be engineered into an unlimited number of its own NK cell products. CRISPR also has an option to co-develop and co-commercialize a future CAR NK program. Subsequently, pursuant to terms of the CRISPR Agreement, CRISPR elected to exercise its right to opt-out of continuing the research of the initial collaboration product, NKX070. The opt-out became effective in September 2025. The Company retains a license to the initial collaboration product, subject to the same potential future milestone and royalty payments owed to CRISPR as described below for non-collaboration products. Currently, the Company is not performing any work on this initial collaboration product and no milestones have been achieved or are probable.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CRISPR Agreement now, the Company and CRISPR share equally in all research and development costs and potential profits worldwide related to the NK+T product candidate and the potential future CAR NK program. The Company has deprioritized further development of NKX070 and NK+T.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each non-collaboration product candidate incorporating a genome editing target licensed from CRISPR (a "CRISPR-Licensed Product Candidate"), other than those targeting the Specified TA, the Company would retain worldwide rights and may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required to make potential future payments based on the achievement of development and regulatory approval milestones totaling less than mid-twenty million dollars, as well as tiered royalties up to the mid-single digits on net product sales of such product candidate. For each CRISPR-Licensed Product Candidate targeting the Specified TA, the Company would retain worldwide rights and may be required to make potential future payments based on the achievement of development and regulatory approval milestones totaling less than high-forty million dollars, as well as tiered royalties up to the mid-single digits on net product sales of such product candidate. As of December 31, 2025, the Company has not paid any amounts nor are any amounts owed by the Company under the CRISPR Agreement, and no milestones have been achieved or are probable.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MaxCyte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26, 2021, the Company entered into a license agreement (the "MaxCyte Agreement") with MaxCyte, Inc. ("MaxCyte") to obtain non-exclusive clinical and commercial rights to use MaxCyte's cell loading technology to develop and commercialize in up to ten licensed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MaxCyte Agreement, the Company must pay to MaxCyte annual research license fees and commercialization license fees, ranging from $0.1 million to $0.3 million, for each instrument licensed by the Company. Further, the Company could be required to make milestone payments to MaxCyte upon completion of certain regulatory and commercial milestones related to the clinical development and commercialization of certain of the Company’s licensed products. The aggregate potential milestone payments range from $10 million to $13 million per licensed product. Additionally, the Company may be required to make net sales milestone payments totaling between $61.9 million to $116.8 million per licensed product. As of December 31, 2025, no milestones have been achieved.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University of Singapore and St. Jude Children’s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2016, the National University of Singapore ("NUS") and St. Jude Children’s Research Hospital ("St. Jude") and the Company entered into a license agreement under which NUS and St. Jude (the "Licensors") granted the Company an exclusive, royalty-bearing, worldwide license to its patent rights related to a method for expanding NK cells; a chimeric receptor with NKG2D specificity; and a method for supporting autonomous NK cell function ("NUS and St. Jude License Agreement"). The NUS and St. Jude License Agreement provides the Company with the rights to grant and authorize sublicenses to make, have made, use, sell, offer for sale and import products and otherwise exploit the patent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consideration for the license, the Company made an upfront payment of $31,800 and issued NUS 250,000 shares of the Company’s common stock. The Company determined that the upfront payment (42,750 Singapore Dollars (“SGD”)) and value of the common stock issued ($2,500 based on fair value at time of issuance) as part of the license agreement would be expensed upon execution of the contract as the license was acquired for research and development purposes which does not have alternative future uses, and the underlying technology has not reached technological feasibility, hence the Company expensed these costs during 2016.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Company is required to pay an annual license maintenance fee of SGD 25,000, increasing to SGD 50,000 after year two of the agreement. Further, the Company could be required to make milestone payments to the Licensors upon completion of certain regulatory and commercial milestones related to the clinical development and commercialization of certain of the Company’s product candidates. The aggregate potential milestone payments are approximately SGD 5 million. The Company has also agreed to pay the Licensors royalties of 2.5% of net sales of products sold by the Company or through a sublicense. Additionally, the Company agreed to pay the Licensors a tiered percentage of sublicensing income (ranging from 7.5% to 20%) based on the timing of capital raised and stage of clinical trials. The NUS and St. Jude License Agreement also includes certain performance objectives which obligate the Company to meet various milestones related to the clinical development and commercialization of certain of the Company’s product candidates over time for up to 120 months after the effective date of the NUS and St. Jude License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recorded $37,000 of license maintenance fees included as part of research and development expenses for each of the years ended December 31, 2025 and 2024. As of December 31, 2025, no milestones have been achieved.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9. Employee Benefits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2018, the Company adopted a defined contribution 401(k) plan that is available to eligible employees. Under the terms of the plan, employees may make voluntary contributions as a percent of compensation, limited to the maximum amount allowable under federal tax regulations. As part of the plan, the Company elected to make non-matching contributions via mandatory 3% of compensation safe harbor nonelective contributions. The Company recognized $1.0 million and $0.9 million for expense related to the nonelective 401(k) contributions for the years ended December 31, 2025 and 2024,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10. Stockholders’ Equity</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13, 2024, the stockholders approved an amendment to the Company's Restated Certificate of Incorporation to increase the number of total authorized shares of the Company's common stock, $0.0001 par value per share, from 100,000,000 to 200,000,000 shares.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Common stockholders are entitled to dividends if and when declared by the Company’s Board of Directors subject to the prior rights of the preferred stockholders. As of December 31, 2025 and 2024, no dividends on common stock had been declared by the Company’s Board of Directors. </w:t>
      </w:r>
    </w:p>
    <w:p>
      <w:pPr>
        <w:pStyle w:val="TextBody"/>
        <w:bidi w:val="0"/>
        <w:spacing w:before="360" w:after="283"/>
        <w:jc w:val="left"/>
        <w:rPr>
          <w:rFonts w:ascii="Times New Roman" w:hAnsi="Times New Roman"/>
          <w:sz w:val="20"/>
        </w:rPr>
      </w:pPr>
      <w:r>
        <w:rPr>
          <w:rFonts w:ascii="Times New Roman" w:hAnsi="Times New Roman"/>
          <w:b/>
          <w:i/>
          <w:color w:val="000000"/>
          <w:sz w:val="20"/>
        </w:rPr>
        <w:t>Follow-on Offerings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2024, the Company completed an underwritten public offering utilizing the Shelf Registration Statement, pursuant to which it sold an aggregate of (i) 21,010,000 shares of its common stock at a price of $10.00 per share, and (ii) pre-funded warrants to purchase 3,000,031 shares of its common stock at a price of $9.9999 per pre-funded warrant. The pre-funded warrants can be exercised at any time after issuance for an exercise price of $0.0001 per share, subject to certain ownership limitations. As of December 31, 2025, none of the pre-funded warrants have been exercised. The Company raised $240.1 million in gross proceeds before underwriting discounts and commissions of $14.4 million and other offering expenses of $0.6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ASC 480-10, Accounting for Certain Financial Instruments with Characteristics of both Liabilities and Equity and ASC 815-40, Accounting for Derivative Financial Instruments Indexed to, and Potentially Settled in, a Company’s Own Stock, the Company determined that the pre-funded warrants should be equity classified because they are freestanding financial instruments, are immediately exercisable, do not embody an obligation for the Company to repurchase its shares, permit the holders to receive a fixed number of shares of common stock upon exercise, are indexed to the Company’s common stock and meet the equity classification criteria.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11. Share-Based Compensation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2020 Performance Incentive Plan (the "2020 Plan") which was adopted by the Company’s board of directors in June 2020 and approved by the Company’s stockholders in July 2020, became effective upon the consummation of the IPO in July 2020. Upon the effectiveness of the 2020 Plan, no further grants may be made under the Company’s prior equity incentive plan, the 2015 Equity Incentive Plan (the "2015 Plan"). The 2020 Plan allows for the grant of incentive stock options, non-qualified stock options, stock appreciation rights, stock bonuses, restricted stock, stock units and other forms of awards including cash awards to its officers, directors, employees, consultants and advisors.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2025, a total of 14,380,237 shares of the Company’s common stock were authorized for issuance with respect to awards granted under the 2020 Plan (this number of shares gives effect to the annual increases in the 2020 Plan share limit, as described in the next sentence).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3,914,097 shares were available for new award grants under the 2020 Plan as of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stock option activity during the year ended December 31, 2025 (in thousands, except number of shares, exercise prices and contractual term):</w:t>
      </w:r>
    </w:p>
    <w:p>
      <w:pPr>
        <w:pStyle w:val="TextBody"/>
        <w:bidi w:val="0"/>
        <w:jc w:val="left"/>
        <w:rPr/>
      </w:pPr>
      <w:r>
        <w:rPr/>
        <w:t> </w:t>
      </w:r>
    </w:p>
    <w:tbl>
      <w:tblPr>
        <w:tblW w:w="9890" w:type="dxa"/>
        <w:jc w:val="left"/>
        <w:tblInd w:w="0" w:type="dxa"/>
        <w:tblLayout w:type="fixed"/>
        <w:tblCellMar>
          <w:top w:w="28" w:type="dxa"/>
          <w:left w:w="28" w:type="dxa"/>
          <w:bottom w:w="28" w:type="dxa"/>
          <w:right w:w="28" w:type="dxa"/>
        </w:tblCellMar>
      </w:tblPr>
      <w:tblGrid>
        <w:gridCol w:w="2941"/>
        <w:gridCol w:w="146"/>
        <w:gridCol w:w="170"/>
        <w:gridCol w:w="1210"/>
        <w:gridCol w:w="166"/>
        <w:gridCol w:w="146"/>
        <w:gridCol w:w="388"/>
        <w:gridCol w:w="1053"/>
        <w:gridCol w:w="146"/>
        <w:gridCol w:w="146"/>
        <w:gridCol w:w="495"/>
        <w:gridCol w:w="1230"/>
        <w:gridCol w:w="146"/>
        <w:gridCol w:w="146"/>
        <w:gridCol w:w="389"/>
        <w:gridCol w:w="781"/>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remaining 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9,069,194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4,614,869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(2,936,230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10,737,203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6,073,982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Vested and expected to vest at </w:t>
              <w:br/>
              <w: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10,737,203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aggregate intrinsic value represents the difference between the exercise price of stock options and the quoted closing market price of the Company’s common stock on the applicable date for all in-the-money stock options. </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 information related to the Company’s stock options is summarized below (in thousands, except per share amounts):</w:t>
      </w:r>
    </w:p>
    <w:p>
      <w:pPr>
        <w:pStyle w:val="TextBody"/>
        <w:bidi w:val="0"/>
        <w:jc w:val="left"/>
        <w:rPr/>
      </w:pPr>
      <w:r>
        <w:rPr/>
        <w:t> </w:t>
      </w:r>
    </w:p>
    <w:tbl>
      <w:tblPr>
        <w:tblW w:w="8197" w:type="dxa"/>
        <w:jc w:val="left"/>
        <w:tblInd w:w="0" w:type="dxa"/>
        <w:tblLayout w:type="fixed"/>
        <w:tblCellMar>
          <w:top w:w="28" w:type="dxa"/>
          <w:left w:w="28" w:type="dxa"/>
          <w:bottom w:w="28" w:type="dxa"/>
          <w:right w:w="28" w:type="dxa"/>
        </w:tblCellMar>
      </w:tblPr>
      <w:tblGrid>
        <w:gridCol w:w="5866"/>
        <w:gridCol w:w="146"/>
        <w:gridCol w:w="255"/>
        <w:gridCol w:w="565"/>
        <w:gridCol w:w="177"/>
        <w:gridCol w:w="177"/>
        <w:gridCol w:w="255"/>
        <w:gridCol w:w="565"/>
        <w:gridCol w:w="1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grant-date fair value of stock option grants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Intrinsic value of 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the restricted stock unit activity during the year ended December 31, 2025: </w:t>
      </w:r>
    </w:p>
    <w:p>
      <w:pPr>
        <w:pStyle w:val="TextBody"/>
        <w:bidi w:val="0"/>
        <w:jc w:val="left"/>
        <w:rPr/>
      </w:pPr>
      <w:r>
        <w:rPr/>
        <w:t> </w:t>
      </w:r>
    </w:p>
    <w:tbl>
      <w:tblPr>
        <w:tblW w:w="8548" w:type="dxa"/>
        <w:jc w:val="left"/>
        <w:tblInd w:w="0" w:type="dxa"/>
        <w:tblLayout w:type="fixed"/>
        <w:tblCellMar>
          <w:top w:w="28" w:type="dxa"/>
          <w:left w:w="28" w:type="dxa"/>
          <w:bottom w:w="28" w:type="dxa"/>
          <w:right w:w="28" w:type="dxa"/>
        </w:tblCellMar>
      </w:tblPr>
      <w:tblGrid>
        <w:gridCol w:w="2941"/>
        <w:gridCol w:w="146"/>
        <w:gridCol w:w="187"/>
        <w:gridCol w:w="1193"/>
        <w:gridCol w:w="166"/>
        <w:gridCol w:w="146"/>
        <w:gridCol w:w="729"/>
        <w:gridCol w:w="1611"/>
        <w:gridCol w:w="146"/>
        <w:gridCol w:w="146"/>
        <w:gridCol w:w="272"/>
        <w:gridCol w:w="674"/>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(969,788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weighted-average grant-date fair values of restricted stock units granted during the years ended December 31, 2025 and 2024 were $2.50 and $6.04, respectively. The fair value of restricted stock units that vested in the years ended December 31, 2025 and 2024 totaled $0.7 million and $1.4 million,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2020 Employee Stock Purchase Plan (the "ESPP"), which was adopted by the Company’s board of directors in June 2020 and approved by the Company’s stockholders in July 2020, became effective upon the consummation of the IPO.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During 2025 and 2024, 95,520 and 144,049 shares were issued under the ESPP resulting in aggregate cash proceeds of $0.1 million and $0.3 million, respectively. As of December 31, 2025, 2,173,680 shares remained available for issuance under the ESPP (after giving effect to share purchases made under the ESPP through and including the ESPP offering period that ended on November 30,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Common Stock Reserved for Future Issuance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had reserved the following shares of common stock for future issuance:</w:t>
      </w:r>
    </w:p>
    <w:p>
      <w:pPr>
        <w:pStyle w:val="TextBody"/>
        <w:bidi w:val="0"/>
        <w:jc w:val="left"/>
        <w:rPr/>
      </w:pPr>
      <w:r>
        <w:rPr/>
        <w:t> </w:t>
      </w:r>
    </w:p>
    <w:tbl>
      <w:tblPr>
        <w:tblW w:w="7625" w:type="dxa"/>
        <w:jc w:val="left"/>
        <w:tblInd w:w="0" w:type="dxa"/>
        <w:tblLayout w:type="fixed"/>
        <w:tblCellMar>
          <w:top w:w="28" w:type="dxa"/>
          <w:left w:w="28" w:type="dxa"/>
          <w:bottom w:w="28" w:type="dxa"/>
          <w:right w:w="28" w:type="dxa"/>
        </w:tblCellMar>
      </w:tblPr>
      <w:tblGrid>
        <w:gridCol w:w="6106"/>
        <w:gridCol w:w="146"/>
        <w:gridCol w:w="146"/>
        <w:gridCol w:w="1036"/>
        <w:gridCol w:w="191"/>
      </w:tblGrid>
      <w:tr>
        <w:trPr/>
        <w:tc>
          <w:tcPr>
            <w:tcW w:w="6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 and restricted stock units granted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11,386,162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equity award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3,914,097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ESPP issuances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2,173,680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17,473,939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Share-Based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Share-based compensation expense for the years ended December 31, 2025 and 2024 were as follows (in thousands):</w:t>
      </w:r>
    </w:p>
    <w:p>
      <w:pPr>
        <w:pStyle w:val="TextBody"/>
        <w:bidi w:val="0"/>
        <w:jc w:val="left"/>
        <w:rPr/>
      </w:pPr>
      <w:r>
        <w:rPr/>
        <w:t> </w:t>
      </w:r>
    </w:p>
    <w:tbl>
      <w:tblPr>
        <w:tblW w:w="6166" w:type="dxa"/>
        <w:jc w:val="left"/>
        <w:tblInd w:w="0" w:type="dxa"/>
        <w:tblLayout w:type="fixed"/>
        <w:tblCellMar>
          <w:top w:w="28" w:type="dxa"/>
          <w:left w:w="28" w:type="dxa"/>
          <w:bottom w:w="28" w:type="dxa"/>
          <w:right w:w="28" w:type="dxa"/>
        </w:tblCellMar>
      </w:tblPr>
      <w:tblGrid>
        <w:gridCol w:w="3636"/>
        <w:gridCol w:w="146"/>
        <w:gridCol w:w="214"/>
        <w:gridCol w:w="581"/>
        <w:gridCol w:w="148"/>
        <w:gridCol w:w="148"/>
        <w:gridCol w:w="214"/>
        <w:gridCol w:w="688"/>
        <w:gridCol w:w="391"/>
      </w:tblGrid>
      <w:tr>
        <w:trPr/>
        <w:tc>
          <w:tcPr>
            <w:tcW w:w="3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3,202</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5,357</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8,559</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total unrecognized compensation cost related to stock options was $10.7 million, which is expected to be recognized over a weighted-average remaining service period of 2.3 years as of December 31, 2025. The total unrecognized compensation cost related to restricted stock units was $1.7 million, which is expected to be recognized over a weighted-average remaining service period of 2.4 years as of December 31, 2025.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Fair Value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stock options was estimated on the date of grant using the quoted market price for the Company’s common stock on the applicable grant date and the Black-Scholes option pricing model with the following range of assumptions:</w:t>
      </w:r>
    </w:p>
    <w:p>
      <w:pPr>
        <w:pStyle w:val="TextBody"/>
        <w:bidi w:val="0"/>
        <w:jc w:val="left"/>
        <w:rPr/>
      </w:pPr>
      <w:r>
        <w:rPr/>
        <w:t> </w:t>
      </w:r>
    </w:p>
    <w:tbl>
      <w:tblPr>
        <w:tblW w:w="5500" w:type="dxa"/>
        <w:jc w:val="left"/>
        <w:tblInd w:w="0" w:type="dxa"/>
        <w:tblLayout w:type="fixed"/>
        <w:tblCellMar>
          <w:top w:w="28" w:type="dxa"/>
          <w:left w:w="28" w:type="dxa"/>
          <w:bottom w:w="28" w:type="dxa"/>
          <w:right w:w="28" w:type="dxa"/>
        </w:tblCellMar>
      </w:tblPr>
      <w:tblGrid>
        <w:gridCol w:w="2131"/>
        <w:gridCol w:w="146"/>
        <w:gridCol w:w="1516"/>
        <w:gridCol w:w="146"/>
        <w:gridCol w:w="156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 - 4.5%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 - 4.5%</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100.3% - 103.8%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100.4% - 117.3%</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5.5 - 6.1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 - 4.4%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 - 5.4%</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63.5% - 90.3%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83.2% - 152.7%</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recognizes compensation costs related to stock options granted to employees and nonemployees based on the estimated fair value of the awards on the date of grant, net of forfeitures. The Company generally recognizes grant-date fair value of stock options granted to employees and non-employee service providers on a straight-line basis over the requisite service period, which is generally the vesting term of the respective awards. The Company determines the fair value of stock options with a service condition as described above. The Company accounts for the impact of forfeitures as they occur. The determination of the fair value of share-based payment awards utilizing the Black-Scholes option-pricing model is affected by the Company’s stock price and a number of assumptions, including expected volatility, expected life, risk-free interest rate and expected dividends.</w:t>
      </w:r>
    </w:p>
    <w:p>
      <w:pPr>
        <w:pStyle w:val="TextBody"/>
        <w:bidi w:val="0"/>
        <w:spacing w:before="240" w:after="283"/>
        <w:jc w:val="left"/>
        <w:rPr>
          <w:rFonts w:ascii="Times New Roman" w:hAnsi="Times New Roman"/>
          <w:sz w:val="20"/>
        </w:rPr>
      </w:pPr>
      <w:r>
        <w:rPr>
          <w:rFonts w:ascii="Times New Roman" w:hAnsi="Times New Roman"/>
          <w:i/>
          <w:color w:val="000000"/>
          <w:sz w:val="20"/>
        </w:rPr>
        <w:t>Expected term.</w:t>
      </w:r>
      <w:r>
        <w:rPr>
          <w:rFonts w:ascii="Times New Roman" w:hAnsi="Times New Roman"/>
          <w:color w:val="000000"/>
          <w:sz w:val="20"/>
        </w:rPr>
        <w:t xml:space="preserve"> The Company opted to use the “simplified method” for estimating the expected term of employee options, whereby the expected term equals the average of the vesting term and the original contractual term of the option (generally 10 years). The expected term of the employee stock purchase plan rights equals the six-month look-back period.</w:t>
      </w:r>
    </w:p>
    <w:p>
      <w:pPr>
        <w:pStyle w:val="TextBody"/>
        <w:bidi w:val="0"/>
        <w:spacing w:before="240" w:after="283"/>
        <w:jc w:val="left"/>
        <w:rPr>
          <w:rFonts w:ascii="Times New Roman" w:hAnsi="Times New Roman"/>
          <w:sz w:val="20"/>
        </w:rPr>
      </w:pPr>
      <w:r>
        <w:rPr>
          <w:rFonts w:ascii="Times New Roman" w:hAnsi="Times New Roman"/>
          <w:i/>
          <w:color w:val="000000"/>
          <w:sz w:val="20"/>
        </w:rPr>
        <w:t>Expected volatility.</w:t>
      </w:r>
      <w:r>
        <w:rPr>
          <w:rFonts w:ascii="Times New Roman" w:hAnsi="Times New Roman"/>
          <w:color w:val="000000"/>
          <w:sz w:val="20"/>
        </w:rPr>
        <w:t xml:space="preserve"> Due to the Company’s limited operating history and a lack of company specific historical and implied volatility data, since inception and prior to 2023, the Company based its estimate of expected volatility on an average of the historical volatilities of the common stock of comparable publicly traded biopharmaceutical companies over a period equal to the expected term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of the stock option grants. For the grants after 2023, the expected volatility was determined by using a blended approach of the Company’s historical stock price volatility and the historical stock price volatility for a select group of other publicly traded companies in the same industry. The comparable companies were chosen based on their similar size, stage in the life cycle, and financial leverage to the Company.</w:t>
      </w:r>
    </w:p>
    <w:p>
      <w:pPr>
        <w:pStyle w:val="TextBody"/>
        <w:bidi w:val="0"/>
        <w:spacing w:before="240" w:after="283"/>
        <w:jc w:val="left"/>
        <w:rPr>
          <w:rFonts w:ascii="Times New Roman" w:hAnsi="Times New Roman"/>
          <w:sz w:val="20"/>
        </w:rPr>
      </w:pPr>
      <w:r>
        <w:rPr>
          <w:rFonts w:ascii="Times New Roman" w:hAnsi="Times New Roman"/>
          <w:i/>
          <w:color w:val="000000"/>
          <w:sz w:val="20"/>
        </w:rPr>
        <w:t>Risk-free interest rate.</w:t>
      </w:r>
      <w:r>
        <w:rPr>
          <w:rFonts w:ascii="Times New Roman" w:hAnsi="Times New Roman"/>
          <w:color w:val="000000"/>
          <w:sz w:val="20"/>
        </w:rPr>
        <w:t xml:space="preserve"> The risk-free rate assumption is based on the U.S. Treasury instruments with maturities similar to the expected term of the stock options.</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Expected dividend yield. </w:t>
      </w:r>
      <w:r>
        <w:rPr>
          <w:rFonts w:ascii="Times New Roman" w:hAnsi="Times New Roman"/>
          <w:color w:val="000000"/>
          <w:sz w:val="20"/>
        </w:rPr>
        <w:t>The Company has not issued any dividends and does not expect to issue dividends over the life of the options, as a result the estimated dividend yield is zero.</w:t>
      </w:r>
    </w:p>
    <w:p>
      <w:pPr>
        <w:pStyle w:val="TextBody"/>
        <w:bidi w:val="0"/>
        <w:spacing w:before="360" w:after="283"/>
        <w:jc w:val="left"/>
        <w:rPr>
          <w:rFonts w:ascii="Times New Roman" w:hAnsi="Times New Roman"/>
          <w:sz w:val="20"/>
        </w:rPr>
      </w:pPr>
      <w:r>
        <w:rPr>
          <w:rFonts w:ascii="Times New Roman" w:hAnsi="Times New Roman"/>
          <w:b/>
          <w:color w:val="000000"/>
          <w:sz w:val="20"/>
        </w:rPr>
        <w:t>12.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Company’s net losses for the years ended December 31, 2025 and 2024, and since the Company has a full valuation allowance against deferred tax assets, there was no tax provision or benefit for income taxes recorded in the years presented.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further described in Note 2, we have elected to prospectively adopt the guidance in </w:t>
      </w:r>
      <w:r>
        <w:rPr>
          <w:rFonts w:ascii="Times New Roman" w:hAnsi="Times New Roman"/>
          <w:i/>
          <w:color w:val="000000"/>
          <w:sz w:val="20"/>
        </w:rPr>
        <w:t>ASU 2023-09</w:t>
      </w:r>
      <w:r>
        <w:rPr>
          <w:rFonts w:ascii="Times New Roman" w:hAnsi="Times New Roman"/>
          <w:color w:val="000000"/>
          <w:sz w:val="20"/>
        </w:rPr>
        <w:t xml:space="preserve">. The following table is a reconciliation of the U.S. federal statutory income tax rate to the Company’s effective income tax rate for the year ended December 31, 2025 in accordance with </w:t>
      </w:r>
      <w:r>
        <w:rPr>
          <w:rFonts w:ascii="Times New Roman" w:hAnsi="Times New Roman"/>
          <w:i/>
          <w:color w:val="000000"/>
          <w:sz w:val="20"/>
        </w:rPr>
        <w:t xml:space="preserve">ASU 2023-09 </w:t>
      </w:r>
      <w:r>
        <w:rPr>
          <w:rFonts w:ascii="Times New Roman" w:hAnsi="Times New Roman"/>
          <w:color w:val="000000"/>
          <w:sz w:val="20"/>
        </w:rPr>
        <w:t>(in thousands, except percent):</w:t>
      </w:r>
    </w:p>
    <w:p>
      <w:pPr>
        <w:pStyle w:val="TextBody"/>
        <w:bidi w:val="0"/>
        <w:jc w:val="left"/>
        <w:rPr/>
      </w:pPr>
      <w:r>
        <w:rPr/>
        <w:t> </w:t>
      </w:r>
    </w:p>
    <w:tbl>
      <w:tblPr>
        <w:tblW w:w="7885" w:type="dxa"/>
        <w:jc w:val="left"/>
        <w:tblInd w:w="0" w:type="dxa"/>
        <w:tblLayout w:type="fixed"/>
        <w:tblCellMar>
          <w:top w:w="28" w:type="dxa"/>
          <w:left w:w="28" w:type="dxa"/>
          <w:bottom w:w="28" w:type="dxa"/>
          <w:right w:w="28" w:type="dxa"/>
        </w:tblCellMar>
      </w:tblPr>
      <w:tblGrid>
        <w:gridCol w:w="5236"/>
        <w:gridCol w:w="146"/>
        <w:gridCol w:w="218"/>
        <w:gridCol w:w="760"/>
        <w:gridCol w:w="171"/>
        <w:gridCol w:w="150"/>
        <w:gridCol w:w="150"/>
        <w:gridCol w:w="543"/>
        <w:gridCol w:w="51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Amount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i/>
                <w:color w:val="000000"/>
                <w:sz w:val="16"/>
              </w:rPr>
            </w:pPr>
            <w:r>
              <w:rPr>
                <w:rFonts w:ascii="Times New Roman" w:hAnsi="Times New Roman"/>
                <w:b/>
                <w:i/>
                <w:color w:val="000000"/>
                <w:sz w:val="16"/>
              </w:rPr>
              <w:t>Percent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federal statutory income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(21,858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State and local income taxes, net of federal income tax effect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unrecognized tax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The majority of the state and local income taxes, net of federal effect, category is California.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following table is a reconciliation of the U.S. federal statutory income tax rate to the Company’s effective income tax rate for the year ended December 31, 2024, in accordance with the guidance prior to the adoption of </w:t>
      </w:r>
      <w:r>
        <w:rPr>
          <w:rFonts w:ascii="Times New Roman" w:hAnsi="Times New Roman"/>
          <w:i/>
          <w:color w:val="000000"/>
          <w:sz w:val="20"/>
        </w:rPr>
        <w:t xml:space="preserve">ASU 2023-09 </w:t>
      </w:r>
      <w:r>
        <w:rPr>
          <w:rFonts w:ascii="Times New Roman" w:hAnsi="Times New Roman"/>
          <w:color w:val="000000"/>
          <w:sz w:val="20"/>
        </w:rPr>
        <w:t xml:space="preserve">(in thousands): </w:t>
      </w:r>
    </w:p>
    <w:p>
      <w:pPr>
        <w:pStyle w:val="TextBody"/>
        <w:bidi w:val="0"/>
        <w:jc w:val="left"/>
        <w:rPr/>
      </w:pPr>
      <w:r>
        <w:rPr/>
        <w:t> </w:t>
      </w:r>
    </w:p>
    <w:tbl>
      <w:tblPr>
        <w:tblW w:w="5593" w:type="dxa"/>
        <w:jc w:val="left"/>
        <w:tblInd w:w="0" w:type="dxa"/>
        <w:tblLayout w:type="fixed"/>
        <w:tblCellMar>
          <w:top w:w="28" w:type="dxa"/>
          <w:left w:w="28" w:type="dxa"/>
          <w:bottom w:w="28" w:type="dxa"/>
          <w:right w:w="28" w:type="dxa"/>
        </w:tblCellMar>
      </w:tblPr>
      <w:tblGrid>
        <w:gridCol w:w="3241"/>
        <w:gridCol w:w="146"/>
        <w:gridCol w:w="444"/>
        <w:gridCol w:w="1551"/>
        <w:gridCol w:w="211"/>
      </w:tblGrid>
      <w:tr>
        <w:trPr/>
        <w:tc>
          <w:tcPr>
            <w:tcW w:w="3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at statutory rates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Significant components of the Company’s deferred tax assets are shown below (in thousands):</w:t>
      </w:r>
    </w:p>
    <w:p>
      <w:pPr>
        <w:pStyle w:val="TextBody"/>
        <w:bidi w:val="0"/>
        <w:jc w:val="left"/>
        <w:rPr/>
      </w:pPr>
      <w:r>
        <w:rPr/>
        <w:t> </w:t>
      </w:r>
    </w:p>
    <w:tbl>
      <w:tblPr>
        <w:tblW w:w="7694" w:type="dxa"/>
        <w:jc w:val="left"/>
        <w:tblInd w:w="0" w:type="dxa"/>
        <w:tblLayout w:type="fixed"/>
        <w:tblCellMar>
          <w:top w:w="28" w:type="dxa"/>
          <w:left w:w="28" w:type="dxa"/>
          <w:bottom w:w="28" w:type="dxa"/>
          <w:right w:w="28" w:type="dxa"/>
        </w:tblCellMar>
      </w:tblPr>
      <w:tblGrid>
        <w:gridCol w:w="4621"/>
        <w:gridCol w:w="146"/>
        <w:gridCol w:w="211"/>
        <w:gridCol w:w="841"/>
        <w:gridCol w:w="166"/>
        <w:gridCol w:w="146"/>
        <w:gridCol w:w="211"/>
        <w:gridCol w:w="841"/>
        <w:gridCol w:w="511"/>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operating loss carry 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53,520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25,123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Capitalized research and development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39,385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141,942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Valuation allowance for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(127,479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assets, net of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14,463</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(6,819</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Public Law No. 119–21 was enacted on July 4, 2025, as H.R. 1 during the 119th Congress and formally titled “An Act to Provide for Reconciliation Pursuant to Title II of H. Con. Res. 14” ("2025 Reconciliation Act"). The 2025 Reconciliation Act includes several significant tax provisions, such as the permanent extension of certain expiring provisions of the Tax Cuts and Jobs Act, modifications to the international tax framework and the restoration of certain business provisions. The legislation has multiple effective dates, with certain provisions effective in 2025 and others implemented through 2027. The Company evaluated the impact of the 2025 Reconciliation Act and determined that it did not have a material impact on the Company’s financial statements for the year ended December 31, 2025.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 net operating loss and has provided a valuation allowance against net deferred tax assets due to uncertainties regarding the Company’s ability to realize these assets. The valuation allowance increased by $23.9 million and $25.3 million as of December 31,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assessing the realizability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the temporary differences representing net future deductible amounts become deductible. Due to the Company’s history of losses, and lack of other positive evidence, the Company has determined that it is more likely than not that its net deferred tax assets will not be realized, and therefore, the net deferred tax assets are substantially offset by a valuation allowance as of December 31, 2025 and 2024. The deferred tax assets were primarily comprised of federal and state tax net operating losses, capitalized research and development expenditures, and tax credit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Company had net operating loss ("NOL") carryforwards of approximately $298.1 million and $65.1 million, available to reduce future taxable income, if any, for federal and California state income tax purposes, respectively. Of the $298.1 million federal NOL carryforwards, $3.2 million will begin expiring in 2035, if not utilized, while $294.9 million can be carried forward indefinitely. The state NOL carryforwards will begin expiring in 2036, if not utilized.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had federal and state research and development credit carry forwards of approximately $25.1 million and $11.8 million, respectively, as of December 31, 2025. The federal credits will begin expiring in 2035 if not utilized. The California credits have no expiration date.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Utilization of the NOL and research and development credit carryforwards may be subject to a substantial annual limitation due to ownership change limitations that may have occurred or that could occur in the future, as required by Section 382 of the Internal Revenue Code of 1986, as amended (the "Code"), as well as similar state provisions. The future utilization of the Company’s NOL and tax credit carryforwards to offset future taxable income may be subject to a substantial annual limitation as a result of changes in ownership by stockholders that hold 5% or more of the Company’s common stock. An assessment of such ownership changes under Section 382 was not completed through December 31, 2025. To the extent that an assessment is completed in the future, the Company’s ability to utilize tax attributes could be restricted on a year-by-year basis and certain attributes could expire before they are utilized. The Company will examine the impact of any potential ownership changes in the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balance of gross unrecognized tax benefits as of December 31, 2025 and 2024 was approximately $5.5 million and $4.7 million, respectively, of which none would affect the Company’s effective tax rate if recognized due to the Company's full valuation allowance position. The Company recognizes interest and penalties accrued on any unrecognized tax benefits as a component of income tax expense. No interest or penalties were recorded for the years ended December 31, 2025 and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changes in the Company’s gross unrecognized tax benefits (in thousands):</w:t>
      </w:r>
    </w:p>
    <w:p>
      <w:pPr>
        <w:pStyle w:val="TextBody"/>
        <w:bidi w:val="0"/>
        <w:jc w:val="left"/>
        <w:rPr/>
      </w:pPr>
      <w:r>
        <w:rPr/>
        <w:t> </w:t>
      </w:r>
    </w:p>
    <w:tbl>
      <w:tblPr>
        <w:tblW w:w="6779" w:type="dxa"/>
        <w:jc w:val="left"/>
        <w:tblInd w:w="0" w:type="dxa"/>
        <w:tblLayout w:type="fixed"/>
        <w:tblCellMar>
          <w:top w:w="28" w:type="dxa"/>
          <w:left w:w="28" w:type="dxa"/>
          <w:bottom w:w="28" w:type="dxa"/>
          <w:right w:w="28" w:type="dxa"/>
        </w:tblCellMar>
      </w:tblPr>
      <w:tblGrid>
        <w:gridCol w:w="4546"/>
        <w:gridCol w:w="146"/>
        <w:gridCol w:w="211"/>
        <w:gridCol w:w="571"/>
        <w:gridCol w:w="166"/>
        <w:gridCol w:w="146"/>
        <w:gridCol w:w="211"/>
        <w:gridCol w:w="571"/>
        <w:gridCol w:w="21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beginning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tax positions taken in prior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related to tax positions taken in prior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tax positions taken in current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the end of the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 federal and state returns for the years ended 2015 through the current period remain subject to examination by taxing authorities due to the tax attribute carryforwards. The Company is currently under examination by the Internal Revenue Service ("IRS") for the Company's 2023 United States ("U.S.") income tax return. The Company is not currently under examination by any state income or franchise tax agency.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2020, the Coronavirus Aid, Relief and Economic Security Act (the "CARES Act") was signed into law, providing numerous tax provisions and other stimulus measures. Among these was the Employee Retention Credit ("ERC"), a refundable tax credit against certain employment taxes for qualifying businesses that retained employees on their payroll during the COVID-19 pandemic.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third quarter of 2025, the Company received approval and payment from the IRS for ERC claims submitted. The Company received $1.7 million, including interest, in payments related to calendar years 2020 and 2021. This amount, due to the uncertainty of eventual receipt following claims made, was not recognized until receipt. For the twelve months ended December 31, 2025, $1.5 million was recognized within other income and $0.2 million was recognized in interest income in the statement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13. Segment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operates as a single reporting segment, focused on the research and development of cell therapies for patients with autoimmune diseases. The Company's measure of segment profit or loss is net loss. The Chief Executive Officer, as the CODM, manages and allocates resources to the operations of the Company on a total company basis. The Company monitors its cash, cash equivalents, and investments as reported on the Company's Balance Sheets to determine funding for its research and development. The measure of segment assets is reported as total assets on the Company’s balance sheet.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the Company is not yet generating revenue, the CODM evaluates its performance based on progress in pre-clinical and clinical research objectives. Along with the Company’s Statement of Operations and Comprehensive Loss, the CODM regularly reviews budgeted and forecasted expenses to assess liquidity requirements and allocate cash accordingly.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is representative of the significant expense categories regularly provided to the CODM when managing the Company's single reporting segment.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reconciliation to the net loss for the years ended December 31, 2025 and 2024 is included at the bottom of the table below.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924" w:type="dxa"/>
        <w:jc w:val="left"/>
        <w:tblInd w:w="0" w:type="dxa"/>
        <w:tblLayout w:type="fixed"/>
        <w:tblCellMar>
          <w:top w:w="28" w:type="dxa"/>
          <w:left w:w="28" w:type="dxa"/>
          <w:bottom w:w="28" w:type="dxa"/>
          <w:right w:w="28" w:type="dxa"/>
        </w:tblCellMar>
      </w:tblPr>
      <w:tblGrid>
        <w:gridCol w:w="5851"/>
        <w:gridCol w:w="146"/>
        <w:gridCol w:w="211"/>
        <w:gridCol w:w="841"/>
        <w:gridCol w:w="166"/>
        <w:gridCol w:w="146"/>
        <w:gridCol w:w="211"/>
        <w:gridCol w:w="841"/>
        <w:gridCol w:w="511"/>
      </w:tblGrid>
      <w:tr>
        <w:trPr/>
        <w:tc>
          <w:tcPr>
            <w:tcW w:w="5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Personnel related expenses, excluding share-based compensation</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41,129</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Facilities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19,403</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Direct external development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102,311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(102,311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Reconciling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(9,152</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Impairment of ROU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19,317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(104,084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(108,790</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Personnel related expenses include $4.9 million of severance and other benefits expense for the year ended December 31, 2025. </w:t>
      </w:r>
    </w:p>
    <w:p>
      <w:pPr>
        <w:pStyle w:val="TextBody"/>
        <w:bidi w:val="0"/>
        <w:jc w:val="left"/>
        <w:rPr>
          <w:rFonts w:ascii="Times New Roman" w:hAnsi="Times New Roman"/>
          <w:color w:val="000000"/>
          <w:sz w:val="20"/>
        </w:rPr>
      </w:pPr>
      <w:r>
        <w:rPr>
          <w:rFonts w:ascii="Times New Roman" w:hAnsi="Times New Roman"/>
          <w:color w:val="000000"/>
          <w:sz w:val="20"/>
        </w:rPr>
        <w:t xml:space="preserve">(2) Other segment items include consultants and contractor, lab supplies, and general business expenses. </w:t>
      </w:r>
    </w:p>
    <w:p>
      <w:pPr>
        <w:pStyle w:val="TextBody"/>
        <w:bidi w:val="0"/>
        <w:spacing w:before="360" w:after="283"/>
        <w:jc w:val="left"/>
        <w:rPr>
          <w:rFonts w:ascii="Times New Roman" w:hAnsi="Times New Roman"/>
          <w:sz w:val="20"/>
        </w:rPr>
      </w:pPr>
      <w:r>
        <w:rPr>
          <w:rFonts w:ascii="Times New Roman" w:hAnsi="Times New Roman"/>
          <w:b/>
          <w:color w:val="000000"/>
          <w:sz w:val="20"/>
        </w:rPr>
        <w:t>14. Reduction in Force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26, 2025, the Company announced a reduction in force (the "Reduction") that resulted in a reduction of 53 positions, representing approximately 34% of the Company’s workforce. The Company undertook the Reduction to decrease its costs and create a more streamlined organization to focus on upcoming clinical data updates.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Employees affected by the Reduction were entitled to receive severance payments and certain Company-funded benefits totaling approximately $5.4 million in costs. The Company recognized severance and benefit expense in full for employees who were notified of their termination in March 2025 and had no requirements for future service. The Company recognized expense for employees who were required to render services to receive their severance and benefits ratably over the service period from April 2025 to October 31, 2025. These charges were recorded pursuant to ASC 712 or ASC 420, depending on the agreements with the impacted employees. The expense was recognized in general and administrative operating expenses in the statements of operations and comprehensive loss.</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details of the severance and other termination benefit expense with the remaining balance of the liability recorded in accrued and other current liabilities on the condensed balance sheets for the year ended December 31, 2025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77"/>
        <w:gridCol w:w="146"/>
        <w:gridCol w:w="621"/>
        <w:gridCol w:w="1859"/>
        <w:gridCol w:w="166"/>
        <w:gridCol w:w="146"/>
        <w:gridCol w:w="746"/>
        <w:gridCol w:w="1496"/>
        <w:gridCol w:w="146"/>
        <w:gridCol w:w="146"/>
        <w:gridCol w:w="211"/>
        <w:gridCol w:w="631"/>
        <w:gridCol w:w="214"/>
      </w:tblGrid>
      <w:tr>
        <w:trPr/>
        <w:tc>
          <w:tcPr>
            <w:tcW w:w="3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 Future Service Period Required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Service Period Required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severance and other benefits,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5,368</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January 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Expense recognized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77"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bookmarkStart w:id="23" w:name="item_9_changes_in_disagreements_with_acc"/>
      <w:bookmarkEnd w:id="23"/>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24" w:name="item_9a_controls_procedures"/>
      <w:bookmarkEnd w:id="24"/>
      <w:r>
        <w:rPr>
          <w:rFonts w:ascii="Times New Roman" w:hAnsi="Times New Roman"/>
          <w:b/>
          <w:color w:val="000000"/>
          <w:sz w:val="20"/>
        </w:rPr>
        <w:t>Item 9A.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Securities Exchange Act of 1934, as amended (the "Exchange Act"), that are designed to provide reasonable assurance that information required to be disclosed by a company in the reports that it files or submits under the Exchange Act is recorded, processed, summarized and reported within the time periods specified in the SEC’s rules and forms and is accumulated and communicated to our management, including our Chief Executive Officer and President, as appropriate to allow timely decisions regarding required disclosure.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President, evaluated the effectiveness of our disclosure controls and procedures as of December 31, 2025. Based on this evaluation, our Chief Executive Officer and President concluded that, as of December 31, 2025, our disclosure controls and procedures were effective at the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Management’s Report on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defined in Rules 13a-15(f) and 15d-15(f) of the Exchange Act) to provide reasonable assurance regarding the reliability of our financial reporting and the preparation of financial statements for external purposes in accordance with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the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prevention or timely detection of unauthorized acquisition, use or disposition of our assets that could have a material effect on the financial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carried out an evaluation, under the supervision and with the participation of our management, including our Chief Executive Officer and President, regarding the effectiveness of our internal control over financial reporting using the criteria set forth by the Committee of Sponsoring Organizations of the Treadway Commission (COSO) in Internal Control - Integrated Framework (2013). Based on this evaluation, our management concluded that our internal control over financial reporting was effective as of December 31,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December 31, 2025 that have materially affected, or are reasonably likely to materially affect, our internal control over financial reporting.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Inherent Limitations on Effectiveness of Controls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including our Chief Executive Officer and our President,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the collusion of two or more people or by management override of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inherent limitations in a cost-effective control system, misstatements due to error or fraud may occur and not be detected.</w:t>
      </w:r>
    </w:p>
    <w:p>
      <w:pPr>
        <w:pStyle w:val="TextBody"/>
        <w:bidi w:val="0"/>
        <w:spacing w:before="360" w:after="283"/>
        <w:jc w:val="left"/>
        <w:rPr>
          <w:rFonts w:ascii="Times New Roman" w:hAnsi="Times New Roman"/>
          <w:sz w:val="20"/>
        </w:rPr>
      </w:pPr>
      <w:bookmarkStart w:id="25" w:name="item_9b_or_information"/>
      <w:bookmarkEnd w:id="25"/>
      <w:r>
        <w:rPr>
          <w:rFonts w:ascii="Times New Roman" w:hAnsi="Times New Roman"/>
          <w:b/>
          <w:color w:val="000000"/>
          <w:sz w:val="20"/>
        </w:rPr>
        <w:t>Item 9B.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 of our directors or officers adopted, modified or terminated a "Rule 10b5-1 trading arrangement" or a "non-rule 10b5-1 trading arrangement," as each item is defined in Item 408(a) of Regulation S-K, during the fourth quarter ended December 31, 2025.</w:t>
      </w:r>
    </w:p>
    <w:p>
      <w:pPr>
        <w:pStyle w:val="TextBody"/>
        <w:bidi w:val="0"/>
        <w:spacing w:before="360" w:after="283"/>
        <w:jc w:val="left"/>
        <w:rPr>
          <w:rFonts w:ascii="Times New Roman" w:hAnsi="Times New Roman"/>
          <w:sz w:val="20"/>
        </w:rPr>
      </w:pPr>
      <w:bookmarkStart w:id="26" w:name="item_9c_disclosure_regarding_foreign"/>
      <w:bookmarkEnd w:id="26"/>
      <w:r>
        <w:rPr>
          <w:rFonts w:ascii="Times New Roman" w:hAnsi="Times New Roman"/>
          <w:b/>
          <w:color w:val="000000"/>
          <w:sz w:val="20"/>
        </w:rPr>
        <w:t>Item 9C. Disclosure Regarding Foreign Jurisdictions that Prevent Inspections.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part_iii"/>
      <w:bookmarkEnd w:id="27"/>
      <w:r>
        <w:rPr>
          <w:rFonts w:ascii="Times New Roman" w:hAnsi="Times New Roman"/>
          <w:b/>
          <w:color w:val="000000"/>
          <w:sz w:val="20"/>
        </w:rPr>
        <w:t>PART III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8" w:name="item_10_directors_executive_ficers_corpo"/>
      <w:bookmarkEnd w:id="28"/>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set forth in the Company’s proxy statement to be filed with the Securities and Exchange Commission within 120 days after the Company’s fiscal year end and is incorporated herein by reference.</w:t>
      </w:r>
    </w:p>
    <w:p>
      <w:pPr>
        <w:pStyle w:val="TextBody"/>
        <w:bidi w:val="0"/>
        <w:spacing w:before="360" w:after="283"/>
        <w:jc w:val="left"/>
        <w:rPr>
          <w:rFonts w:ascii="Times New Roman" w:hAnsi="Times New Roman"/>
          <w:sz w:val="20"/>
        </w:rPr>
      </w:pPr>
      <w:bookmarkStart w:id="29" w:name="item_11_executive_compensation"/>
      <w:bookmarkEnd w:id="29"/>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set forth in the Company’s proxy statement to be filed with the Securities and Exchange Commission within 120 days after the Company’s fiscal year end and is incorporated herein by reference.</w:t>
      </w:r>
    </w:p>
    <w:p>
      <w:pPr>
        <w:pStyle w:val="TextBody"/>
        <w:bidi w:val="0"/>
        <w:spacing w:before="360" w:after="283"/>
        <w:jc w:val="left"/>
        <w:rPr>
          <w:rFonts w:ascii="Times New Roman" w:hAnsi="Times New Roman"/>
          <w:sz w:val="20"/>
        </w:rPr>
      </w:pPr>
      <w:bookmarkStart w:id="30" w:name="item_12_security_ownership_certain_benef"/>
      <w:bookmarkEnd w:id="30"/>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set forth in the Company’s proxy statement to be filed with the Securities and Exchange Commission within 120 days after the Company’s fiscal year end and is incorporated herein by reference.</w:t>
      </w:r>
    </w:p>
    <w:p>
      <w:pPr>
        <w:pStyle w:val="TextBody"/>
        <w:bidi w:val="0"/>
        <w:spacing w:before="360" w:after="283"/>
        <w:jc w:val="left"/>
        <w:rPr>
          <w:rFonts w:ascii="Times New Roman" w:hAnsi="Times New Roman"/>
          <w:sz w:val="20"/>
        </w:rPr>
      </w:pPr>
      <w:bookmarkStart w:id="31" w:name="item_13_certain_relationships_related_tr"/>
      <w:bookmarkEnd w:id="31"/>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set forth in the Company’s proxy statement to be filed with the Securities and Exchange Commission within 120 days after the Company’s fiscal year end and is incorporated herein by reference.</w:t>
      </w:r>
    </w:p>
    <w:p>
      <w:pPr>
        <w:pStyle w:val="TextBody"/>
        <w:bidi w:val="0"/>
        <w:spacing w:before="360" w:after="283"/>
        <w:jc w:val="left"/>
        <w:rPr>
          <w:rFonts w:ascii="Times New Roman" w:hAnsi="Times New Roman"/>
          <w:sz w:val="20"/>
        </w:rPr>
      </w:pPr>
      <w:bookmarkStart w:id="32" w:name="item_14_principal_accounting_fees_servic"/>
      <w:bookmarkEnd w:id="32"/>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this Item will be set forth in the Company’s proxy statement to be filed with the Securities and Exchange Commission within 120 days after the Company’s fiscal year end and is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3" w:name="part_iv"/>
      <w:bookmarkEnd w:id="33"/>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4" w:name="item_15_exhibits_financial_statement_sch"/>
      <w:bookmarkEnd w:id="34"/>
      <w:r>
        <w:rPr>
          <w:rFonts w:ascii="Times New Roman" w:hAnsi="Times New Roman"/>
          <w:b/>
          <w:color w:val="000000"/>
          <w:sz w:val="20"/>
        </w:rPr>
        <w:t>Item 15. Exhibits and Financial 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The following documents are filed as part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i/>
          <w:color w:val="000000"/>
          <w:sz w:val="20"/>
        </w:rPr>
        <w:t>Financial Statements.</w:t>
      </w:r>
      <w:r>
        <w:rPr>
          <w:color w:val="000000"/>
        </w:rPr>
        <w:t xml:space="preserve"> </w:t>
      </w:r>
      <w:r>
        <w:rPr>
          <w:rFonts w:ascii="Times New Roman" w:hAnsi="Times New Roman"/>
          <w:color w:val="000000"/>
          <w:sz w:val="20"/>
        </w:rPr>
        <w:t>See Index to Financial Statements in Part II Item 8 of this Annual Report on Form 10-K.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i/>
          <w:color w:val="000000"/>
          <w:sz w:val="20"/>
        </w:rPr>
        <w:t>Financial Statement Schedules</w:t>
      </w:r>
      <w:r>
        <w:rPr>
          <w:rFonts w:ascii="Times New Roman" w:hAnsi="Times New Roman"/>
          <w:color w:val="000000"/>
          <w:sz w:val="20"/>
        </w:rPr>
        <w:t>. None. All financial statement schedules are omitted because they are not applicable, not required under the instructions or the requested information is included in the financial statements or notes thereto.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pPr>
      <w:r>
        <w:rPr>
          <w:rFonts w:ascii="Times New Roman" w:hAnsi="Times New Roman"/>
          <w:i/>
          <w:color w:val="000000"/>
          <w:sz w:val="20"/>
        </w:rPr>
        <w:t>Exhibits</w:t>
      </w:r>
      <w:r>
        <w:rPr>
          <w:rFonts w:ascii="Times New Roman" w:hAnsi="Times New Roman"/>
          <w:color w:val="000000"/>
          <w:sz w:val="20"/>
        </w:rPr>
        <w:t>. The following is a list of exhibits filed with this report or incorporated herein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5" w:name="exhibit_index"/>
      <w:bookmarkEnd w:id="35"/>
      <w:r>
        <w:rPr>
          <w:rFonts w:ascii="Times New Roman" w:hAnsi="Times New Roman"/>
          <w:b/>
          <w:color w:val="000000"/>
          <w:sz w:val="20"/>
        </w:rPr>
        <w:t>Exhibit</w:t>
      </w:r>
      <w:r>
        <w:rPr>
          <w:rFonts w:ascii="Times New Roman" w:hAnsi="Times New Roman"/>
          <w:color w:val="000000"/>
          <w:sz w:val="20"/>
        </w:rPr>
        <w:t xml:space="preserve"> </w:t>
      </w: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3"/>
        <w:gridCol w:w="146"/>
        <w:gridCol w:w="4976"/>
        <w:gridCol w:w="146"/>
        <w:gridCol w:w="532"/>
        <w:gridCol w:w="146"/>
        <w:gridCol w:w="869"/>
        <w:gridCol w:w="146"/>
        <w:gridCol w:w="663"/>
        <w:gridCol w:w="146"/>
        <w:gridCol w:w="718"/>
        <w:gridCol w:w="146"/>
        <w:gridCol w:w="828"/>
      </w:tblGrid>
      <w:tr>
        <w:trPr/>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0"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Restated Certificate of Incorporation of Nkarta,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Amendment to Restated Certificate of Incorporation of Nkarta,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Second Amendment to Restated Certificate of Incorporation of Nkarta,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Amended and Restated Bylaws of Nkarta,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Form of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Form of Pre-Funded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3/28/2024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Amended and Restated Investors’ Rights Agreement, dated as of August 27, 2019, by and among Nkarta, Inc. and certain of its stockholders.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ktx-ex4_3.htm">
              <w:r>
                <w:rPr>
                  <w:rStyle w:val="InternetLink"/>
                  <w:rFonts w:ascii="Times New Roman" w:hAnsi="Times New Roman"/>
                  <w:color w:val="0000FF"/>
                  <w:sz w:val="20"/>
                  <w:u w:val="single"/>
                </w:rPr>
                <w:t>Description of Capital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10.1</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Indemnification Agreement between Nkarta, Inc. and each of its directors and executive officers.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10.2(A)</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2015 Equity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10.2(B)</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Form of Stock Option Agreement for 2015 Equity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10.3(A)</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2020 Performance Incentive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10.3(B)</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Director Option Agreement between Nkarta, Inc. and certain of its directors.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8/20/2020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10.3(C)</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Director Option Agreement between Nkarta, Inc. and certain of its directors.</w:t>
              </w:r>
            </w:hyperlink>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10.3(D)</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non-qualified Stock Option Agreement between Nkarta, Inc. and certain of its officers and employees.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8/20/2020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10.3(E)</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non-qualified Stock Option Agreement between Nkarta, Inc. and certain of its officers and employees.</w:t>
              </w:r>
            </w:hyperlink>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10.3(F)</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Restricted Stock Unit Agreement between Nkarta, Inc. and certain of its officers and employees.</w:t>
              </w:r>
            </w:hyperlink>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3/16/2023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10.4</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2020 Employee Stock Purchase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10.5</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Nkarta, Inc. Non-Employee Director Compensation Policy, as amended on March 22, 2023.</w:t>
              </w:r>
            </w:hyperlink>
            <w:r>
              <w:rPr>
                <w:rFonts w:ascii="Times New Roman" w:hAnsi="Times New Roman"/>
                <w:color w:val="000000"/>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10.6(A)</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Employment Offer Letter between Nkarta, Inc. and Paul Hastings.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10.6(C)</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Employment Offer Letter between Nkarta, Inc. and Nadir Mahmood.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11/07/2024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10.6(D)</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76"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Employment Offer Letter between Nkarta, Inc. and Shawn Rose.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8/12/2025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2"/>
        <w:gridCol w:w="146"/>
        <w:gridCol w:w="5714"/>
        <w:gridCol w:w="146"/>
        <w:gridCol w:w="414"/>
        <w:gridCol w:w="146"/>
        <w:gridCol w:w="843"/>
        <w:gridCol w:w="146"/>
        <w:gridCol w:w="687"/>
        <w:gridCol w:w="146"/>
        <w:gridCol w:w="681"/>
        <w:gridCol w:w="146"/>
        <w:gridCol w:w="288"/>
      </w:tblGrid>
      <w:tr>
        <w:trPr/>
        <w:tc>
          <w:tcPr>
            <w:tcW w:w="7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10.8</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Severance Agreement.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1/13/2021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Exclusive License Agreement between Nkarta, Inc., National University of Singapore and St. Jude Research Hospital,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Lease Agreement, dated May 29, 2018, by and between Nkarta, Inc. and HCP Life Science REIT,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First Amendment to Lease Agreement, dated April 24, 2019, by and between Nkarta, Inc. and HCP Life Science REIT,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Second Amendment to Lease Agreement, dated May 5, 2020, by and between Nkarta, Inc. and HCP Life Science REIT,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333-239301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6/19/2020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Third Amendment to Lease Agreement, dated January 14, 2021, by and between Nkarta, Inc. and HCP Life Science REIT,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Fourth Amendment to Lease Agreement, dated October 19, 2021, by and between Nkarta, Inc. and HCP Life Science REIT,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Fifth Amendment to Lease Agreement, dated August 11, 2022, by and between Nkarta, Inc. and HCP Life Science REIT,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Sixth Amendment to Lease Agreement, dated December 20, 2024, by and between Nkarta, Inc. and HCP Life Science REIT,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001-39370</w:t>
            </w:r>
          </w:p>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10.10(G)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3/26/2025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Lease, dated July 9, 2021, by and between Nkarta, Inc. and HCP BTC,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First Amendment to Lease, dated November 5, 2021, by and between Nkarta, Inc. and HCP BTC,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11/10/2021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Second Amendment to Lease, dated August 11, 2022, by and between Nkarta, Inc. and HCP BTC, LLC.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8/11/2022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Third Amendment to Lease, dated April 25, 2023, by and between Nkarta, Inc. and HCP BTC, LLC.</w:t>
              </w:r>
            </w:hyperlink>
            <w:r>
              <w:rPr>
                <w:rFonts w:ascii="Times New Roman" w:hAnsi="Times New Roman"/>
                <w:color w:val="0000FF"/>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5/11/2023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Fourth Amendment to Lease, dated June 14, 2023, by and between Nkarta, Inc. and HCP BTC, LLC.</w:t>
              </w:r>
            </w:hyperlink>
            <w:r>
              <w:rPr>
                <w:rFonts w:ascii="Times New Roman" w:hAnsi="Times New Roman"/>
                <w:color w:val="0000FF"/>
                <w:sz w:val="20"/>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8/10/2023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ktx-ex19_1.htm">
              <w:r>
                <w:rPr>
                  <w:rStyle w:val="InternetLink"/>
                  <w:rFonts w:ascii="Times New Roman" w:hAnsi="Times New Roman"/>
                  <w:color w:val="0000FF"/>
                  <w:sz w:val="20"/>
                  <w:u w:val="single"/>
                </w:rPr>
                <w:t>Nkarta, Inc. Insider Trading Policy.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ktx-ex23_1.htm">
              <w:r>
                <w:rPr>
                  <w:rStyle w:val="InternetLink"/>
                  <w:rFonts w:ascii="Times New Roman" w:hAnsi="Times New Roman"/>
                  <w:color w:val="0000FF"/>
                  <w:sz w:val="20"/>
                  <w:u w:val="single"/>
                </w:rPr>
                <w:t>Consent of Independent Registered Public Accounting Firm.</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kt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13"/>
        <w:gridCol w:w="146"/>
        <w:gridCol w:w="6272"/>
        <w:gridCol w:w="146"/>
        <w:gridCol w:w="419"/>
        <w:gridCol w:w="146"/>
        <w:gridCol w:w="753"/>
        <w:gridCol w:w="146"/>
        <w:gridCol w:w="316"/>
        <w:gridCol w:w="146"/>
        <w:gridCol w:w="667"/>
        <w:gridCol w:w="146"/>
        <w:gridCol w:w="289"/>
      </w:tblGrid>
      <w:tr>
        <w:trPr/>
        <w:tc>
          <w:tcPr>
            <w:tcW w:w="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kt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2"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ktx-ex32.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2"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Policy Regarding the Recoupment of Certain Compensation Payments.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as its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6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_________________</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This certification is being furnished solely to accompany this Annual Report on Form 10-K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extBody"/>
        <w:bidi w:val="0"/>
        <w:jc w:val="left"/>
        <w:rPr>
          <w:rFonts w:ascii="Times New Roman" w:hAnsi="Times New Roman"/>
          <w:color w:val="000000"/>
          <w:sz w:val="20"/>
        </w:rPr>
      </w:pPr>
      <w:r>
        <w:rPr>
          <w:rFonts w:ascii="Times New Roman" w:hAnsi="Times New Roman"/>
          <w:color w:val="000000"/>
          <w:sz w:val="20"/>
        </w:rPr>
        <w:t xml:space="preserve">** Portions of this exhibit have been omitted in accordance with Item 601(b)(10)(iv) of Regulation S-K. The Company undertakes to provide to the Securities and Exchange Commission or its staff, if requested and on a supplemental basis, an unredacted copy of this exhibit. </w:t>
      </w:r>
    </w:p>
    <w:p>
      <w:pPr>
        <w:pStyle w:val="TextBody"/>
        <w:bidi w:val="0"/>
        <w:spacing w:before="360" w:after="283"/>
        <w:jc w:val="left"/>
        <w:rPr>
          <w:rFonts w:ascii="Times New Roman" w:hAnsi="Times New Roman"/>
          <w:b/>
          <w:color w:val="000000"/>
          <w:sz w:val="20"/>
        </w:rPr>
      </w:pPr>
      <w:bookmarkStart w:id="36" w:name="item_16_form_10k_summary"/>
      <w:bookmarkEnd w:id="36"/>
      <w:r>
        <w:rPr>
          <w:rFonts w:ascii="Times New Roman" w:hAnsi="Times New Roman"/>
          <w:b/>
          <w:color w:val="000000"/>
          <w:sz w:val="20"/>
        </w:rPr>
        <w:t>Item 16. 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7" w:name="signatures"/>
      <w:bookmarkEnd w:id="37"/>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 w:hAnsi="Times New Roman"/>
          <w:b/>
          <w:color w:val="000000"/>
          <w:sz w:val="20"/>
        </w:rPr>
        <w:t>.</w:t>
      </w:r>
    </w:p>
    <w:p>
      <w:pPr>
        <w:pStyle w:val="TextBody"/>
        <w:bidi w:val="0"/>
        <w:jc w:val="left"/>
        <w:rPr/>
      </w:pPr>
      <w:r>
        <w:rPr/>
        <w:t> </w:t>
      </w:r>
    </w:p>
    <w:tbl>
      <w:tblPr>
        <w:tblW w:w="4477" w:type="dxa"/>
        <w:jc w:val="left"/>
        <w:tblInd w:w="0" w:type="dxa"/>
        <w:tblLayout w:type="fixed"/>
        <w:tblCellMar>
          <w:top w:w="28" w:type="dxa"/>
          <w:left w:w="28" w:type="dxa"/>
          <w:bottom w:w="28" w:type="dxa"/>
          <w:right w:w="28" w:type="dxa"/>
        </w:tblCellMar>
      </w:tblPr>
      <w:tblGrid>
        <w:gridCol w:w="1891"/>
        <w:gridCol w:w="109"/>
        <w:gridCol w:w="406"/>
        <w:gridCol w:w="207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Nkarta, Inc.</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J. Hastings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as amended, this Report has been signed below by the following persons on behalf of the Registrant in the capacities and on the dates indicated.</w:t>
      </w:r>
    </w:p>
    <w:p>
      <w:pPr>
        <w:pStyle w:val="TextBody"/>
        <w:bidi w:val="0"/>
        <w:jc w:val="left"/>
        <w:rPr/>
      </w:pPr>
      <w:r>
        <w:rPr/>
        <w:t> </w:t>
      </w:r>
    </w:p>
    <w:tbl>
      <w:tblPr>
        <w:tblW w:w="8035" w:type="dxa"/>
        <w:jc w:val="left"/>
        <w:tblInd w:w="0" w:type="dxa"/>
        <w:tblLayout w:type="fixed"/>
        <w:tblCellMar>
          <w:top w:w="28" w:type="dxa"/>
          <w:left w:w="28" w:type="dxa"/>
          <w:bottom w:w="28" w:type="dxa"/>
          <w:right w:w="28" w:type="dxa"/>
        </w:tblCellMar>
      </w:tblPr>
      <w:tblGrid>
        <w:gridCol w:w="2581"/>
        <w:gridCol w:w="146"/>
        <w:gridCol w:w="3721"/>
        <w:gridCol w:w="146"/>
        <w:gridCol w:w="144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5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25, 2026</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J. Hastings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25, 2026</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Nadir Mahmood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Ali Behbahani</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25, 2026</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Ali Behbahani, M.D.,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Dybbs</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25, 2026</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Dybbs,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Simeon George</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25, 2026</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Simeon George, M.D.,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Leone Patterson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25, 2026</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Leone Patterson, MBA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Zachary Scheiner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25, 2026</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Zachary Scheiner, Ph.D.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Angela Thedinga</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25, 2026</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Angela Thedinga, MBA, MPH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George Vratsanos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25, 2026</w:t>
            </w:r>
          </w:p>
        </w:tc>
      </w:tr>
      <w:tr>
        <w:trPr/>
        <w:tc>
          <w:tcPr>
            <w:tcW w:w="2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George Vratsanos, M.D.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135</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38" w:name="nktx-ex4_3.htm"/>
      <w:bookmarkStart w:id="39" w:name="ksnktxex4_3"/>
      <w:bookmarkEnd w:id="38"/>
      <w:bookmarkEnd w:id="39"/>
      <w:r>
        <w:rPr>
          <w:rFonts w:ascii="Times New Roman" w:hAnsi="Times New Roman"/>
          <w:b/>
          <w:color w:val="000000"/>
          <w:sz w:val="22"/>
        </w:rPr>
        <w:t>EXHIBIT 4.3</w:t>
      </w:r>
      <w:r>
        <w:br w:type="page"/>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DESCRIPTION OF CAPITAL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following description of the capital stock of Nkarta, Inc. (“us,” “our,” “we” or the “Company”) is a summary of the rights of our common stock and certain provisions of our amended and restated certificate of incorporation (the “Certificate of Incorporation”) and our amended and restated bylaws (the “Bylaws”) currently in effect. This summary does not purport to be complete and is qualified in its entirety by the provisions of our Certificate of Incorporation, as amended, and Bylaws, each previously filed with the Securities and Exchange Commission and incorporated by reference as an exhibit to the Annual Report on Form 10-K of which this Exhibit 4.3 is a part, as well as to the applicable provisions of the Delaware General Corporation Law (the “DGCL”). We encourage you to read our certificate of incorporation, bylaws and the applicable portions of the DGCL carefully.</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Authorized Capital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authorized capital stock consists of 200,000,000 shares of common stock, par value $0.0001 per share, and 54,350,179 shares of preferred stock, par value $0.0001 per share, all of which shares of preferred stock are undesignated.</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Common Stock</w:t>
      </w:r>
    </w:p>
    <w:p>
      <w:pPr>
        <w:pStyle w:val="TextBody"/>
        <w:bidi w:val="0"/>
        <w:spacing w:before="0" w:after="240"/>
        <w:jc w:val="left"/>
        <w:rPr>
          <w:rFonts w:ascii="Times New Roman" w:hAnsi="Times New Roman"/>
          <w:sz w:val="20"/>
        </w:rPr>
      </w:pPr>
      <w:r>
        <w:rPr>
          <w:rFonts w:ascii="Times New Roman" w:hAnsi="Times New Roman"/>
          <w:b/>
          <w:color w:val="000000"/>
          <w:sz w:val="20"/>
        </w:rPr>
        <w:t xml:space="preserve">Dividends. </w:t>
      </w:r>
      <w:r>
        <w:rPr>
          <w:rFonts w:ascii="Times New Roman" w:hAnsi="Times New Roman"/>
          <w:color w:val="000000"/>
          <w:sz w:val="20"/>
        </w:rPr>
        <w:t>Subject to preferences that may be applicable to any then outstanding preferred stock, holders of our common stock are entitled to receive ratably those dividends, if any, as may be declared by the board of directors out of legally available funds.</w:t>
      </w:r>
    </w:p>
    <w:p>
      <w:pPr>
        <w:pStyle w:val="TextBody"/>
        <w:bidi w:val="0"/>
        <w:spacing w:before="0" w:after="240"/>
        <w:jc w:val="left"/>
        <w:rPr>
          <w:rFonts w:ascii="Times New Roman" w:hAnsi="Times New Roman"/>
          <w:sz w:val="20"/>
        </w:rPr>
      </w:pPr>
      <w:r>
        <w:rPr>
          <w:rFonts w:ascii="Times New Roman" w:hAnsi="Times New Roman"/>
          <w:b/>
          <w:color w:val="000000"/>
          <w:sz w:val="20"/>
        </w:rPr>
        <w:t xml:space="preserve">Voting Rights. </w:t>
      </w:r>
      <w:r>
        <w:rPr>
          <w:rFonts w:ascii="Times New Roman" w:hAnsi="Times New Roman"/>
          <w:color w:val="000000"/>
          <w:sz w:val="20"/>
        </w:rPr>
        <w:t>Except as otherwise expressly provided in our Certificate of Incorporation or as required by applicable law, the holders of our common stock are entitled to one vote per share on all matters submitted to a vote of stockholders, including for the election of directors. We have not provided for cumulative voting rights for our common stock in our Certificate of Incorporation.</w:t>
      </w:r>
    </w:p>
    <w:p>
      <w:pPr>
        <w:pStyle w:val="TextBody"/>
        <w:bidi w:val="0"/>
        <w:spacing w:before="0" w:after="240"/>
        <w:jc w:val="left"/>
        <w:rPr>
          <w:rFonts w:ascii="Times New Roman" w:hAnsi="Times New Roman"/>
          <w:sz w:val="20"/>
        </w:rPr>
      </w:pPr>
      <w:r>
        <w:rPr>
          <w:rFonts w:ascii="Times New Roman" w:hAnsi="Times New Roman"/>
          <w:b/>
          <w:color w:val="000000"/>
          <w:sz w:val="20"/>
        </w:rPr>
        <w:t xml:space="preserve">Liquidation Rights and Distributions. </w:t>
      </w:r>
      <w:r>
        <w:rPr>
          <w:rFonts w:ascii="Times New Roman" w:hAnsi="Times New Roman"/>
          <w:color w:val="000000"/>
          <w:sz w:val="20"/>
        </w:rPr>
        <w:t>In the event of our liquidation, dissolution or winding up, the holders of our common stock will be entitled to share ratably in the assets legally available for distribution to stockholders after the payment of or provision for all of our debts and other liabilities, subject to the prior rights of any preferred stock then outstanding.</w:t>
      </w:r>
    </w:p>
    <w:p>
      <w:pPr>
        <w:pStyle w:val="TextBody"/>
        <w:bidi w:val="0"/>
        <w:spacing w:before="0" w:after="240"/>
        <w:jc w:val="left"/>
        <w:rPr>
          <w:rFonts w:ascii="Times New Roman" w:hAnsi="Times New Roman"/>
          <w:sz w:val="20"/>
        </w:rPr>
      </w:pPr>
      <w:bookmarkStart w:id="40" w:name="c9"/>
      <w:bookmarkEnd w:id="40"/>
      <w:r>
        <w:rPr>
          <w:rFonts w:ascii="Times New Roman" w:hAnsi="Times New Roman"/>
          <w:b/>
          <w:color w:val="000000"/>
          <w:sz w:val="20"/>
        </w:rPr>
        <w:t xml:space="preserve">Other Matters. </w:t>
      </w:r>
      <w:r>
        <w:rPr>
          <w:rFonts w:ascii="Times New Roman" w:hAnsi="Times New Roman"/>
          <w:color w:val="000000"/>
          <w:sz w:val="20"/>
        </w:rPr>
        <w:t>Our Certificate of Incorporation does not entitle holders of our common stock to preemptive or conversion rights or other subscription rights. There are no redemption or sinking fund provisions applicable to our common stock. The common stock may not be subdivided or combined in any manner unless the conversion price of any other class that is convertible to common stock is increased or decreased, as applicable, in the same proportion. All outstanding shares of our common stock are fully paid and non-assessable.</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Authorized but Unissued Preferred Stock</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authorized shares of preferred stock are available for issuance without further action by our stockholders unless required by law or by the rules and regulations of any stock exchange on which our common stock may be listed. Our Certificate of Incorporation authorizes our board of directors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 Our board of directors is authorized to increase or decrease the number of authorized shares of any series of preferred stock, but not below the number of shares of that series of preferred stock then outstanding, without any further vote or action by stockholders.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The issuance of preferred stock could adversely affect the voting power of holders of common stock and the likelihood that such holders will receive dividend payments and payments upon liquidation and. In addition, the existence of unissued and unreserved common stock or preferred stock could render more difficult or discourage an attempt to obtain control of us by means of a merger, tender offer, proxy contest or otherwise, and could thereby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protect the continuity of our management and possibly deprive stockholders of opportunities to sell their shares of common stock at prices higher than prevailing market prices.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Choice of Forum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Certificate of Incorporation provides that, unless we consent in writing, the sole and exclusive forum for any stockholder (including any beneficial owner) to bring (i) any derivative action or proceeding brought on our behalf, (ii) any action asserting a claim of breach of a fiduciary duty owed by any of our directors, officers, or employees to us or to our stockholders, (iii) any action asserting a claim arising pursuant to any provision of the DGCL or our Certificate of Incorporation or Bylaws, or (iv) any action asserting a claim governed by the internal affairs doctrine, will be a state court located within the State of Delaware (or, if no state court located within the State of Delaware has jurisdiction, the federal district court for the District of Delaware); in all cases subject to the court’s having personal jurisdiction over the indispensable parties named as defendants. This exclusive forum provision is intended to apply to claims arising under Delaware state law and is not intended to apply to claims brought pursuant to the Exchange Act or the Securities Act, or any other claim for which the federal courts have exclusive jurisdiction. Our Certificate of Incorporation further provides that the federal district courts of the United States of America will be the exclusive forum for resolving any complaint asserting a cause of action arising under the Securities Act. Any person or entity purchasing or otherwise acquiring any interest in shares of our capital stock is deemed to have notice of and consented to the foregoing provisions.</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Anti-Takeover Effects of Our Certificate of Incorporation and Bylaws and Delaware Law</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Certain provisions of Delaware law, our Certificate of Incorporation and our Bylaws could make the acquisition of us more difficult and could delay, defer or prevent a tender offer or other takeover attempt that a stockholder might consider to be in its best interest, including takeover attempts that might result in the payment of a premium to stockholders over the market price for their shares. These provisions include:</w:t>
      </w:r>
    </w:p>
    <w:tbl>
      <w:tblPr>
        <w:tblW w:w="7666" w:type="dxa"/>
        <w:jc w:val="left"/>
        <w:tblInd w:w="0" w:type="dxa"/>
        <w:tblLayout w:type="fixed"/>
        <w:tblCellMar>
          <w:top w:w="28" w:type="dxa"/>
          <w:left w:w="28" w:type="dxa"/>
          <w:bottom w:w="28" w:type="dxa"/>
          <w:right w:w="28" w:type="dxa"/>
        </w:tblCellMar>
      </w:tblPr>
      <w:tblGrid>
        <w:gridCol w:w="161"/>
        <w:gridCol w:w="109"/>
        <w:gridCol w:w="7396"/>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our board of directors is authorized to issue preferred stock without stockholder approval;</w:t>
            </w:r>
          </w:p>
        </w:tc>
      </w:tr>
    </w:tbl>
    <w:p>
      <w:pPr>
        <w:pStyle w:val="TextBody"/>
        <w:bidi w:val="0"/>
        <w:jc w:val="left"/>
        <w:rPr/>
      </w:pPr>
      <w:r>
        <w:rPr/>
        <w:t> </w:t>
      </w:r>
    </w:p>
    <w:tbl>
      <w:tblPr>
        <w:tblW w:w="5671" w:type="dxa"/>
        <w:jc w:val="left"/>
        <w:tblInd w:w="0" w:type="dxa"/>
        <w:tblLayout w:type="fixed"/>
        <w:tblCellMar>
          <w:top w:w="28" w:type="dxa"/>
          <w:left w:w="28" w:type="dxa"/>
          <w:bottom w:w="28" w:type="dxa"/>
          <w:right w:w="28" w:type="dxa"/>
        </w:tblCellMar>
      </w:tblPr>
      <w:tblGrid>
        <w:gridCol w:w="161"/>
        <w:gridCol w:w="109"/>
        <w:gridCol w:w="540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may not cumulate votes in the election of directors;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9935"/>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special meetings of our stockholders may be called only by our board of directors, the chairperson of our board of directors, our chief executive officer or president, or by one or more of our stockholders holding shares in the aggregate entitled to cast not less than 10% of the votes at that meeting;</w:t>
            </w:r>
          </w:p>
        </w:tc>
      </w:tr>
    </w:tbl>
    <w:p>
      <w:pPr>
        <w:pStyle w:val="TextBody"/>
        <w:bidi w:val="0"/>
        <w:jc w:val="left"/>
        <w:rPr/>
      </w:pPr>
      <w:r>
        <w:rPr/>
        <w:t> </w:t>
      </w:r>
    </w:p>
    <w:tbl>
      <w:tblPr>
        <w:tblW w:w="4051" w:type="dxa"/>
        <w:jc w:val="left"/>
        <w:tblInd w:w="0" w:type="dxa"/>
        <w:tblLayout w:type="fixed"/>
        <w:tblCellMar>
          <w:top w:w="28" w:type="dxa"/>
          <w:left w:w="28" w:type="dxa"/>
          <w:bottom w:w="28" w:type="dxa"/>
          <w:right w:w="28" w:type="dxa"/>
        </w:tblCellMar>
      </w:tblPr>
      <w:tblGrid>
        <w:gridCol w:w="161"/>
        <w:gridCol w:w="109"/>
        <w:gridCol w:w="378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may not act by written consent;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9935"/>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must satisfy advance notice procedures to submit proposals or nominate directors for consideration at a stockholders’ meeting;</w:t>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we indemnify our directors and officers against losses that they may incur as a result of investigations and legal proceedings resulting from their services to us, which may include services in connection with takeover defense measures;</w:t>
            </w:r>
          </w:p>
        </w:tc>
      </w:tr>
    </w:tbl>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Our board of directors is divided into three classes as provided by our Certificate of Incorporation. The directors in each class will serve for a three-year term with one class being elected each year by our stockholders.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In addition, we are subject to Section 203 of the DGCL, which provides that, subject to certain stated exceptions, a corporation may not engage in a business combination with any “interested stockholder” (as defined below) for a period of three years following the time that such stockholder became an interested stockholder, unless:</w:t>
      </w:r>
    </w:p>
    <w:tbl>
      <w:tblPr>
        <w:tblW w:w="10205" w:type="dxa"/>
        <w:jc w:val="left"/>
        <w:tblInd w:w="0" w:type="dxa"/>
        <w:tblLayout w:type="fixed"/>
        <w:tblCellMar>
          <w:top w:w="28" w:type="dxa"/>
          <w:left w:w="28" w:type="dxa"/>
          <w:bottom w:w="28" w:type="dxa"/>
          <w:right w:w="28" w:type="dxa"/>
        </w:tblCellMar>
      </w:tblPr>
      <w:tblGrid>
        <w:gridCol w:w="161"/>
        <w:gridCol w:w="109"/>
        <w:gridCol w:w="9935"/>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to such time the board of directors of the corporation approved either the business combination or transaction which resulted in the stockholder becoming an interested stockholder;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9935"/>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upon consummation of the transaction which resulted in the stockholder becoming an interested stockholder, the interested stockholder owned at least 85% of the voting stock of the corporation outstanding at the time the transaction commenced, excluding shares owned by persons who are directors and also officers and employee stock plans in which participants do not have the right to determine confidentially whether shares held subject to the plan will be tendered in a tender or exchange offer;</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109"/>
        <w:gridCol w:w="9935"/>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5"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3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or subsequent to such time, the business combination is approved by the board of directors and authorized at an annual or special meeting of stockholders, and not by written consent; or</w:t>
            </w:r>
          </w:p>
        </w:tc>
      </w:tr>
    </w:tbl>
    <w:p>
      <w:pPr>
        <w:pStyle w:val="TextBody"/>
        <w:bidi w:val="0"/>
        <w:jc w:val="left"/>
        <w:rPr/>
      </w:pPr>
      <w:r>
        <w:rPr/>
        <w:t> </w:t>
      </w:r>
    </w:p>
    <w:tbl>
      <w:tblPr>
        <w:tblW w:w="9841" w:type="dxa"/>
        <w:jc w:val="left"/>
        <w:tblInd w:w="0" w:type="dxa"/>
        <w:tblLayout w:type="fixed"/>
        <w:tblCellMar>
          <w:top w:w="28" w:type="dxa"/>
          <w:left w:w="28" w:type="dxa"/>
          <w:bottom w:w="28" w:type="dxa"/>
          <w:right w:w="28" w:type="dxa"/>
        </w:tblCellMar>
      </w:tblPr>
      <w:tblGrid>
        <w:gridCol w:w="161"/>
        <w:gridCol w:w="109"/>
        <w:gridCol w:w="9571"/>
      </w:tblGrid>
      <w:tr>
        <w:trPr/>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40"/>
              <w:jc w:val="left"/>
              <w:rPr/>
            </w:pPr>
            <w:r>
              <w:rPr/>
              <w:t> </w:t>
            </w:r>
          </w:p>
        </w:tc>
        <w:tc>
          <w:tcPr>
            <w:tcW w:w="109"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w:t>
            </w:r>
          </w:p>
        </w:tc>
        <w:tc>
          <w:tcPr>
            <w:tcW w:w="9571" w:type="dxa"/>
            <w:tcBorders/>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0"/>
              </w:rPr>
            </w:pPr>
            <w:r>
              <w:rPr>
                <w:rFonts w:ascii="Times New Roman" w:hAnsi="Times New Roman"/>
                <w:color w:val="000000"/>
                <w:sz w:val="20"/>
              </w:rPr>
              <w:t>by the affirmative vote of 66 2⁄3% of the outstanding voting stock which is not owned by the interested stockholder.</w:t>
            </w:r>
          </w:p>
        </w:tc>
      </w:tr>
    </w:tbl>
    <w:p>
      <w:pPr>
        <w:pStyle w:val="TextBody"/>
        <w:bidi w:val="0"/>
        <w:spacing w:before="0" w:after="240"/>
        <w:jc w:val="left"/>
        <w:rPr>
          <w:rFonts w:ascii="Times New Roman" w:hAnsi="Times New Roman"/>
          <w:color w:val="000000"/>
          <w:sz w:val="20"/>
        </w:rPr>
      </w:pPr>
      <w:r>
        <w:rPr>
          <w:rFonts w:ascii="Times New Roman" w:hAnsi="Times New Roman"/>
          <w:color w:val="000000"/>
          <w:sz w:val="20"/>
        </w:rPr>
        <w:t>An “interested stockholder” is any person (other than the corporation and any direct or indirect majority-owned subsidiary) who owns 15% or more of the outstanding voting stock of the corporation or is an affiliate or associate of the corporation and was the owner of 15% or more of the outstanding voting stock of the corporation at any time within the three-year period immediately prior to the date of determination, and the affiliates and associates of such person.</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Nasdaq Global Select Market Listing</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Our common stock is listed on the Nasdaq Global Select Market under the trading symbol “NKTX.”</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transfer agent and registrar for our common stock is Equiniti Trust Company, LLC.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41" w:name="nktx-ex19_1.htm"/>
      <w:bookmarkStart w:id="42" w:name="ksnktxex19_1"/>
      <w:bookmarkEnd w:id="41"/>
      <w:bookmarkEnd w:id="42"/>
      <w:r>
        <w:rPr>
          <w:rFonts w:ascii="Times New Roman" w:hAnsi="Times New Roman"/>
          <w:b/>
          <w:color w:val="000000"/>
          <w:sz w:val="22"/>
        </w:rPr>
        <w:t>EXHIBIT 19.1</w:t>
      </w:r>
      <w:r>
        <w:br w:type="page"/>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4"/>
        </w:rPr>
        <w:t>NKARTA, INC.</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INSIDER TRADING POLICY</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(Last amended on June 6, 2025)</w:t>
      </w:r>
    </w:p>
    <w:p>
      <w:pPr>
        <w:pStyle w:val="TextBody"/>
        <w:bidi w:val="0"/>
        <w:jc w:val="left"/>
        <w:rPr/>
      </w:pPr>
      <w:r>
        <w:rPr/>
        <w:t> </w:t>
      </w:r>
    </w:p>
    <w:p>
      <w:pPr>
        <w:pStyle w:val="TextBody"/>
        <w:bidi w:val="0"/>
        <w:spacing w:before="0" w:after="0"/>
        <w:jc w:val="left"/>
        <w:rPr>
          <w:rFonts w:ascii="Times New Roman" w:hAnsi="Times New Roman"/>
          <w:b/>
          <w:color w:val="000000"/>
          <w:sz w:val="24"/>
        </w:rPr>
      </w:pPr>
      <w:r>
        <w:rPr>
          <w:rFonts w:ascii="Times New Roman" w:hAnsi="Times New Roman"/>
          <w:b/>
          <w:color w:val="000000"/>
          <w:sz w:val="24"/>
        </w:rPr>
        <w:t>1.</w:t>
      </w:r>
    </w:p>
    <w:p>
      <w:pPr>
        <w:pStyle w:val="TextBody"/>
        <w:bidi w:val="0"/>
        <w:jc w:val="left"/>
        <w:rPr/>
      </w:pPr>
      <w:r>
        <w:rPr>
          <w:rFonts w:ascii="Times New Roman" w:hAnsi="Times New Roman"/>
          <w:b/>
          <w:color w:val="000000"/>
          <w:sz w:val="24"/>
          <w:u w:val="single"/>
        </w:rPr>
        <w:t>Background and Purpose of Policy</w:t>
      </w:r>
      <w:r>
        <w:rPr>
          <w:color w:val="00000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Nkarta, Inc. (together with any subsidiaries that it may have from time to time,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 and all directors, officers and employees of the Company are subject to federal and state “insider trading” laws with respect to transactions involving Company securities. These laws prohibit (a) purchasing or selling (also referred to herein as “</w:t>
      </w:r>
      <w:r>
        <w:rPr>
          <w:rFonts w:ascii="Times New Roman" w:hAnsi="Times New Roman"/>
          <w:b/>
          <w:color w:val="000000"/>
          <w:sz w:val="24"/>
        </w:rPr>
        <w:t>trading in</w:t>
      </w:r>
      <w:r>
        <w:rPr>
          <w:rFonts w:ascii="Times New Roman" w:hAnsi="Times New Roman"/>
          <w:color w:val="000000"/>
          <w:sz w:val="20"/>
        </w:rPr>
        <w:t>”</w:t>
      </w:r>
      <w:r>
        <w:rPr>
          <w:rFonts w:ascii="Times New Roman" w:hAnsi="Times New Roman"/>
          <w:color w:val="000000"/>
          <w:sz w:val="24"/>
        </w:rPr>
        <w:t>) Company securities on the basis of Material Nonpublic Information (as defined in Section 3 below), and (b) disclosing Material Nonpublic Information to others who might trade on the basis of that information. As further described in Section 9 below, anyone violating these laws is subject to personal liability and could face criminal penalties. Under certain circumstances, companies and their controlling persons could also be subject to liability if they fail to take reasonable steps to prevent insider trading by company personnel.</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The Company has adopted this policy to promote compliance with federal and state insider trading laws and to protect the Company and its directors, officers and employees from the serious liabilities and penalties that can result from trading in Company securities in violation of these laws. </w:t>
      </w:r>
      <w:r>
        <w:rPr>
          <w:rFonts w:ascii="Times New Roman" w:hAnsi="Times New Roman"/>
          <w:b/>
          <w:color w:val="000000"/>
          <w:sz w:val="24"/>
        </w:rPr>
        <w:t>You, however, are responsible for ensuring that you do not violate federal or state insider trading laws or this policy.</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2.</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Scope of Policy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policy applies to (a) all directors, officers and employees of the Company and (b) any other persons, such as contractors or consultants, whom the Company’s General Counsel has designated as subject to this policy because such other persons have access to Material Nonpublic Information concerning the Company. The restrictions in this policy also apply to each such person’s spouse, domestic partner or significant other, parent, child, sibling or in-law, in each case living in such person’s household; any corporation, partnership or other entity that is controlled or managed by such person; and any trust for which such person is the trustee or has a beneficial pecuniary interest (each, a “</w:t>
      </w:r>
      <w:r>
        <w:rPr>
          <w:rFonts w:ascii="Times New Roman" w:hAnsi="Times New Roman"/>
          <w:b/>
          <w:color w:val="000000"/>
          <w:sz w:val="24"/>
        </w:rPr>
        <w:t>Related Party</w:t>
      </w:r>
      <w:r>
        <w:rPr>
          <w:rFonts w:ascii="Times New Roman" w:hAnsi="Times New Roman"/>
          <w:color w:val="000000"/>
          <w:sz w:val="20"/>
        </w:rPr>
        <w:t>”</w:t>
      </w:r>
      <w:r>
        <w:rPr>
          <w:rFonts w:ascii="Times New Roman" w:hAnsi="Times New Roman"/>
          <w:color w:val="000000"/>
          <w:sz w:val="24"/>
        </w:rPr>
        <w:t>). Directors, officers, employees and other persons designated as subject to this policy are responsible for ensuring compliance by their Related Parties. All persons and entities identified in this paragraph are hereinafter referred to in this policy as “</w:t>
      </w:r>
      <w:r>
        <w:rPr>
          <w:rFonts w:ascii="Times New Roman" w:hAnsi="Times New Roman"/>
          <w:b/>
          <w:color w:val="000000"/>
          <w:sz w:val="24"/>
        </w:rPr>
        <w:t>insiders</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3.</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Definition of Material Nonpublic Information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Trading in Company securities “on the basis of” Material Nonpublic Information about the Company or Company securities is prohibited. The term “on the basis of” is generally determined to be met where the person trading in securities was aware of or possessed the Material Nonpublic Information at the time of the transaction. For purposes of determining whether information is “Material Nonpublic Information,” the following provisions apply: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pPr>
      <w:r>
        <w:rPr>
          <w:rFonts w:ascii="Times New Roman" w:hAnsi="Times New Roman"/>
          <w:i/>
          <w:color w:val="000000"/>
          <w:sz w:val="24"/>
        </w:rPr>
        <w:t>Material Information</w:t>
      </w:r>
      <w:r>
        <w:rPr>
          <w:rFonts w:ascii="Times New Roman" w:hAnsi="Times New Roman"/>
          <w:color w:val="000000"/>
          <w:sz w:val="24"/>
        </w:rPr>
        <w:t>. Information about the Company or Company securities is considered “</w:t>
      </w:r>
      <w:r>
        <w:rPr>
          <w:rFonts w:ascii="Times New Roman" w:hAnsi="Times New Roman"/>
          <w:b/>
          <w:color w:val="000000"/>
          <w:sz w:val="24"/>
        </w:rPr>
        <w:t>material</w:t>
      </w:r>
      <w:r>
        <w:rPr>
          <w:color w:val="000000"/>
        </w:rPr>
        <w:t xml:space="preserve">” </w:t>
      </w:r>
      <w:r>
        <w:rPr>
          <w:rFonts w:ascii="Times New Roman" w:hAnsi="Times New Roman"/>
          <w:color w:val="000000"/>
          <w:sz w:val="24"/>
        </w:rPr>
        <w:t xml:space="preserve">if there is a substantial likelihood that a reasonable investor would consider the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information important in making a decision to purchase, hold or sell Company securities. Any information, if publicly disclosed, that could be expected to affect the value of the Company’s securities, whether it is positive or negative, should be considered material information. While it is not possible to define all categories of material information, the following list illustrates various items that could be regarded as material:</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earnings information and projections of earnings information, including estimates of earnings, sales and income or loss;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a pending or proposed merger, acquisition or tender offer;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 pending or proposed acquisition or disposition of significant assets;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 pending or proposed significant joint venture or strategic partnership;</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 restructuring of the Company;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impending bankruptcy or the existence of liquidity problems;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distribution or co-financing agreement out of the ordinary course;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bank borrowings or other financing transactions out of the ordinary course;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significant events regarding the Company’s securities or borrowings, such as repurchase plans or defaults on debt securities or loan agreements;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offerings of additional securities, borrowings or other financing transactions out of the ordinary course;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declaration of a dividend, changes in dividend policies or declaration of a stock split;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changes in executive management or control of the Company;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 change in auditors or notification that the Company may no longer rely on an auditor’s audit report;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new major contracts or the loss of such contracts;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gain or loss of a significant vendor or supplier;</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significant related party transactions;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clinical or pre-clinical development, testing activities and results;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Food and Drug Administration and other regulatory bodies developments, interactions, decisions and actions;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significant regulatory actions involving the Company or significant litigation matters and developments in such litigation;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major new products or product candidates;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 material cybersecurity incident or other significant disruption in the Company’s operations due to a breach or unauthorized access of the Company’s information technology infrastructure; and</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4"/>
        </w:rPr>
        <w:t>material compliance by the Company with a rule or standard for the continued listing of the Company’s common stock on The Nasdaq Stock Market LLC (“</w:t>
      </w:r>
      <w:r>
        <w:rPr>
          <w:rFonts w:ascii="Times New Roman" w:hAnsi="Times New Roman"/>
          <w:b/>
          <w:color w:val="000000"/>
          <w:sz w:val="24"/>
        </w:rPr>
        <w:t>Nasdaq</w:t>
      </w:r>
      <w:r>
        <w:rPr>
          <w:color w:val="000000"/>
        </w:rPr>
        <w:t>”</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Because trading that receives scrutiny will be evaluated after the fact with the benefit of hindsight, questions concerning the materiality of particular information should be resolved in favor of materiality, and trading should be avoided.</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pPr>
      <w:r>
        <w:rPr>
          <w:rFonts w:ascii="Times New Roman" w:hAnsi="Times New Roman"/>
          <w:i/>
          <w:color w:val="000000"/>
          <w:sz w:val="24"/>
        </w:rPr>
        <w:t>Nonpublic Information.</w:t>
      </w:r>
      <w:r>
        <w:rPr>
          <w:color w:val="000000"/>
        </w:rPr>
        <w:t xml:space="preserve"> </w:t>
      </w:r>
      <w:r>
        <w:rPr>
          <w:rFonts w:ascii="Times New Roman" w:hAnsi="Times New Roman"/>
          <w:color w:val="000000"/>
          <w:sz w:val="24"/>
        </w:rPr>
        <w:t>Information that has not been disclosed to the public is generally considered to be “</w:t>
      </w:r>
      <w:r>
        <w:rPr>
          <w:rFonts w:ascii="Times New Roman" w:hAnsi="Times New Roman"/>
          <w:b/>
          <w:color w:val="000000"/>
          <w:sz w:val="24"/>
        </w:rPr>
        <w:t>nonpublic</w:t>
      </w:r>
      <w:r>
        <w:rPr>
          <w:color w:val="000000"/>
        </w:rPr>
        <w:t xml:space="preserve">” </w:t>
      </w:r>
      <w:r>
        <w:rPr>
          <w:rFonts w:ascii="Times New Roman" w:hAnsi="Times New Roman"/>
          <w:color w:val="000000"/>
          <w:sz w:val="24"/>
        </w:rPr>
        <w:t xml:space="preserve">information unless and until it has been widely disseminated to the public and sufficient time has elapsed to permit the market to absorb and evaluate the information. Information generally would be considered widely disseminated if it has been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distributed through the Dow Jones “broad tape,” newswire services, a broadcast on widely-available radio or television programs, publication in a widely-available newspaper, magazine or news website or in a public disclosure document filed with the Securities and Exchange Commission (the “</w:t>
      </w:r>
      <w:r>
        <w:rPr>
          <w:rFonts w:ascii="Times New Roman" w:hAnsi="Times New Roman"/>
          <w:b/>
          <w:color w:val="000000"/>
          <w:sz w:val="24"/>
        </w:rPr>
        <w:t>SEC</w:t>
      </w:r>
      <w:r>
        <w:rPr>
          <w:color w:val="000000"/>
        </w:rPr>
        <w:t>”</w:t>
      </w:r>
      <w:r>
        <w:rPr>
          <w:rFonts w:ascii="Times New Roman" w:hAnsi="Times New Roman"/>
          <w:color w:val="000000"/>
          <w:sz w:val="24"/>
        </w:rPr>
        <w:t>) and available on the SEC’s website. As a general rule, for the purposes of this Policy, information should be considered nonpublic until the closing of the second full trading day after public disclosure. Depending on the particular circumstances, the Company may determine that a longer or shorter period should apply to the release of specific Material Nonpublic Information. “</w:t>
      </w:r>
      <w:r>
        <w:rPr>
          <w:rFonts w:ascii="Times New Roman" w:hAnsi="Times New Roman"/>
          <w:b/>
          <w:color w:val="000000"/>
          <w:sz w:val="24"/>
        </w:rPr>
        <w:t>Trading day</w:t>
      </w:r>
      <w:r>
        <w:rPr>
          <w:color w:val="000000"/>
        </w:rPr>
        <w:t xml:space="preserve">” </w:t>
      </w:r>
      <w:r>
        <w:rPr>
          <w:rFonts w:ascii="Times New Roman" w:hAnsi="Times New Roman"/>
          <w:color w:val="000000"/>
          <w:sz w:val="24"/>
        </w:rPr>
        <w:t>means a day on which national stock exchanges, including Nasdaq, are open for trading.</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4.</w:t>
      </w:r>
    </w:p>
    <w:p>
      <w:pPr>
        <w:pStyle w:val="TextBody"/>
        <w:bidi w:val="0"/>
        <w:jc w:val="both"/>
        <w:rPr/>
      </w:pPr>
      <w:r>
        <w:rPr>
          <w:rFonts w:ascii="Times New Roman" w:hAnsi="Times New Roman"/>
          <w:b/>
          <w:color w:val="000000"/>
          <w:sz w:val="24"/>
          <w:u w:val="single"/>
        </w:rPr>
        <w:t>Restrictions Under This Policy</w:t>
      </w:r>
      <w:r>
        <w:rPr>
          <w:color w:val="00000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In addition to restrictions set forth elsewhere in this policy, all insiders who are aware of Material Nonpublic Information are prohibited from (a) trading in Company securities, except as expressly permitted by this policy, (b) recommending that any person trade in Company securities, (c) disclosing Material Nonpublic Information to any person, including any Related Party, or (d) assisting anyone engaged in the above activities.</w:t>
      </w:r>
      <w:r>
        <w:rPr>
          <w:rFonts w:ascii="Times New Roman" w:hAnsi="Times New Roman"/>
          <w:color w:val="000000"/>
          <w:sz w:val="20"/>
        </w:rPr>
        <w:t xml:space="preserve"> </w:t>
      </w:r>
      <w:r>
        <w:rPr>
          <w:rFonts w:ascii="Times New Roman" w:hAnsi="Times New Roman"/>
          <w:color w:val="000000"/>
          <w:sz w:val="24"/>
        </w:rPr>
        <w:t>The Company strongly discourages all insiders from giving trading advice concerning the Company to third parties even when the insiders do not possess Material Nonpublic Information about the Company. All inquiries from outsiders regarding Material Nonpublic Information about the Company must be forwarded to the General Counsel of the Company.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In addition, insiders who, in the course of their employment with the Company, learn of material nonpublic information about another company with which the Company does business may not (a) trade in that company’s securities until the information becomes public or is no longer material, or (b) disclose such information to any other person or recommend that any person trade in that company’s securities.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For purposes of this policy, “trade in” or “trading in” securities includes:</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 xml:space="preserve">all purchases or sales of Company common stock and any other class of securities of the Company, whether on the open market or in a private transaction;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sale of Company common stock acquired upon the vesting of equity-based awards or the exercise of stock options using any broker-assisted cashless exercise program;</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purchases and sales of derivative securities or any interest or position relating to the future price of Company securities, such as put options, call options and short or forward sales;</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gifts of Company securities (including charitable donations and transfers for estate planning purposes).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Notwithstanding the foregoing, “trading in” securities for purposes of this Policy does </w:t>
      </w:r>
      <w:r>
        <w:rPr>
          <w:rFonts w:ascii="Times New Roman" w:hAnsi="Times New Roman"/>
          <w:color w:val="000000"/>
          <w:sz w:val="24"/>
          <w:u w:val="single"/>
        </w:rPr>
        <w:t>not</w:t>
      </w:r>
      <w:r>
        <w:rPr>
          <w:rFonts w:ascii="Times New Roman" w:hAnsi="Times New Roman"/>
          <w:color w:val="000000"/>
          <w:sz w:val="20"/>
        </w:rPr>
        <w:t xml:space="preserve"> </w:t>
      </w:r>
      <w:r>
        <w:rPr>
          <w:rFonts w:ascii="Times New Roman" w:hAnsi="Times New Roman"/>
          <w:color w:val="000000"/>
          <w:sz w:val="24"/>
        </w:rPr>
        <w:t>include:</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jc w:val="both"/>
        <w:rPr>
          <w:rFonts w:ascii="Times New Roman" w:hAnsi="Times New Roman"/>
          <w:color w:val="000000"/>
          <w:sz w:val="24"/>
        </w:rPr>
      </w:pPr>
      <w:r>
        <w:rPr>
          <w:rFonts w:ascii="Times New Roman" w:hAnsi="Times New Roman"/>
          <w:color w:val="000000"/>
          <w:sz w:val="24"/>
        </w:rPr>
        <w:t>the grant of equity-based awards by the Company, the vesting of any such awards, or the delivery of securities by the Company in payment of any such awards;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 xml:space="preserve">the withholding of securities by the Company or one of its subsidiaries to satisfy a tax withholding obligation in connection with the vesting or payment of Company equity-based awards where the withholding of the securities is provided for and is in accordance with the terms of the applicable award;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rFonts w:ascii="Times New Roman" w:hAnsi="Times New Roman"/>
          <w:color w:val="000000"/>
          <w:sz w:val="24"/>
        </w:rPr>
      </w:pPr>
      <w:r>
        <w:rPr>
          <w:rFonts w:ascii="Times New Roman" w:hAnsi="Times New Roman"/>
          <w:color w:val="000000"/>
          <w:sz w:val="24"/>
        </w:rPr>
        <w:t>the acquisition of securities upon the exercise of Company stock options;</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pPr>
      <w:r>
        <w:rPr>
          <w:rFonts w:ascii="Times New Roman" w:hAnsi="Times New Roman"/>
          <w:color w:val="000000"/>
          <w:sz w:val="24"/>
        </w:rPr>
        <w:t>the satisfaction of the exercise price of a Company stock option and/or satisfaction of any applicable tax withholding amounts arising in connection with the exercise of a Company stock option in cash or as provided in a “net exercise” in accordance with the terms of the applicable award. A “</w:t>
      </w:r>
      <w:r>
        <w:rPr>
          <w:rFonts w:ascii="Times New Roman" w:hAnsi="Times New Roman"/>
          <w:b/>
          <w:color w:val="000000"/>
          <w:sz w:val="24"/>
        </w:rPr>
        <w:t>net exercise</w:t>
      </w:r>
      <w:r>
        <w:rPr>
          <w:color w:val="000000"/>
        </w:rPr>
        <w:t xml:space="preserve">” </w:t>
      </w:r>
      <w:r>
        <w:rPr>
          <w:rFonts w:ascii="Times New Roman" w:hAnsi="Times New Roman"/>
          <w:color w:val="000000"/>
          <w:sz w:val="24"/>
        </w:rPr>
        <w:t xml:space="preserve">is the use of the shares underlying a stock option to pay the exercise price and/or tax withholding obligation in connection with the exercise of a stock option (by such shares being withheld or reacquired by the Company); provided that using a cashless exercise of stock options with a stock broker where Company securities are sold on the market (or any other means of exercise in which Company securities are sold on the market) is not considered a “net exercise” for this purpose and would be considered a trade in the securities that must be structured to satisfy this policy;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(E)</w:t>
      </w:r>
    </w:p>
    <w:p>
      <w:pPr>
        <w:pStyle w:val="TextBody"/>
        <w:bidi w:val="0"/>
        <w:jc w:val="both"/>
        <w:rPr>
          <w:rFonts w:ascii="Times New Roman" w:hAnsi="Times New Roman"/>
          <w:color w:val="000000"/>
          <w:sz w:val="24"/>
        </w:rPr>
      </w:pPr>
      <w:r>
        <w:rPr>
          <w:rFonts w:ascii="Times New Roman" w:hAnsi="Times New Roman"/>
          <w:color w:val="000000"/>
          <w:sz w:val="24"/>
        </w:rPr>
        <w:t>any election to participate in the Company’s Employee Stock Purchase Plan (“ESPP”), any election to change or discontinue contributions to the ESPP, any withdrawal election pursuant to the ESPP, and any acquisition of Company securities pursuant to the ESPP;</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(F)</w:t>
      </w:r>
    </w:p>
    <w:p>
      <w:pPr>
        <w:pStyle w:val="TextBody"/>
        <w:bidi w:val="0"/>
        <w:jc w:val="both"/>
        <w:rPr>
          <w:rFonts w:ascii="Times New Roman" w:hAnsi="Times New Roman"/>
          <w:color w:val="000000"/>
          <w:sz w:val="24"/>
        </w:rPr>
      </w:pPr>
      <w:r>
        <w:rPr>
          <w:rFonts w:ascii="Times New Roman" w:hAnsi="Times New Roman"/>
          <w:color w:val="000000"/>
          <w:sz w:val="24"/>
        </w:rPr>
        <w:t>purchases or sales of the Company’s securities made pursuant to a Trading Plan (as such term is defined in Section 7 below), provided that the Trading Plan has been approved and adopted in accordance with Section 7 below.</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5.</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Quarterly Blackout Periods and Mandatory Pre-Clearance for Designated Insiders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The Company’s announcement of its annual or quarterly financial results almost always has the potential to have a material effect on the market for the Company’s securities. Therefore, to avoid the appearance that an insider traded while aware of Material Nonpublic Information, this policy prohibits employees of the Company and each person identified as a “Designated Insider” on </w:t>
      </w:r>
      <w:r>
        <w:rPr>
          <w:rFonts w:ascii="Times New Roman" w:hAnsi="Times New Roman"/>
          <w:color w:val="000000"/>
          <w:sz w:val="24"/>
          <w:u w:val="single"/>
        </w:rPr>
        <w:t>Exhibit A</w:t>
      </w:r>
      <w:r>
        <w:rPr>
          <w:rFonts w:ascii="Times New Roman" w:hAnsi="Times New Roman"/>
          <w:color w:val="000000"/>
          <w:sz w:val="24"/>
        </w:rPr>
        <w:t>, which may be periodically reviewed and updated by the Company, and each Related Party of such employee or Designated Insider, from trading in Company securities beginning at 5:00 p.m. Pacific Time (the “</w:t>
      </w:r>
      <w:r>
        <w:rPr>
          <w:rFonts w:ascii="Times New Roman" w:hAnsi="Times New Roman"/>
          <w:b/>
          <w:color w:val="000000"/>
          <w:sz w:val="24"/>
        </w:rPr>
        <w:t>Close of Business</w:t>
      </w:r>
      <w:r>
        <w:rPr>
          <w:rFonts w:ascii="Times New Roman" w:hAnsi="Times New Roman"/>
          <w:color w:val="000000"/>
          <w:sz w:val="20"/>
        </w:rPr>
        <w:t>”</w:t>
      </w:r>
      <w:r>
        <w:rPr>
          <w:rFonts w:ascii="Times New Roman" w:hAnsi="Times New Roman"/>
          <w:color w:val="000000"/>
          <w:sz w:val="24"/>
        </w:rPr>
        <w:t>) on the 21st calendar day prior to the filing deadline for the Company’s annual report on Form 10-K or quarterly reports on Form 10-Q and ending on the Close of Business at the end of the second full trading day after the date the Company publicly files its annual report on Form 10-K or quarterly report on Form 10-Q (each, a “</w:t>
      </w:r>
      <w:r>
        <w:rPr>
          <w:rFonts w:ascii="Times New Roman" w:hAnsi="Times New Roman"/>
          <w:b/>
          <w:color w:val="000000"/>
          <w:sz w:val="24"/>
        </w:rPr>
        <w:t>Quarterly Blackout Period</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b/>
          <w:color w:val="000000"/>
          <w:sz w:val="24"/>
        </w:rPr>
        <w:t xml:space="preserve">The existence or non-existence of a blackout period does </w:t>
      </w:r>
      <w:r>
        <w:rPr>
          <w:rFonts w:ascii="Times New Roman" w:hAnsi="Times New Roman"/>
          <w:b/>
          <w:color w:val="000000"/>
          <w:sz w:val="24"/>
          <w:u w:val="single"/>
        </w:rPr>
        <w:t>not</w:t>
      </w:r>
      <w:r>
        <w:rPr>
          <w:rFonts w:ascii="Times New Roman" w:hAnsi="Times New Roman"/>
          <w:color w:val="000000"/>
          <w:sz w:val="20"/>
        </w:rPr>
        <w:t xml:space="preserve"> </w:t>
      </w:r>
      <w:r>
        <w:rPr>
          <w:rFonts w:ascii="Times New Roman" w:hAnsi="Times New Roman"/>
          <w:b/>
          <w:color w:val="000000"/>
          <w:sz w:val="24"/>
        </w:rPr>
        <w:t>alter the general prohibitions against trading based on Material Nonpublic Information, which are applicable at all times.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In addition, the Company requires each Designated Insider who desires to trade in Company securities other than during a Quarterly Blackout Period or any Special Blackout Period (as defined below) to obtain written clearance of the proposed transaction from the General Counsel or any other person designated by him or her prior to initiating such transaction. Requests for pre-clearance should be submitted to the General Counsel at least two business days in advance of the proposed transaction and the person requesting pre-clearance must certify to the General Counsel or his or her designee in writing that such person is not in possession of Material Nonpublic Information concerning the Company. The Designated Insider must complete the proposed trade within two business days after the approval is granted. The General Counsel or his or her designee is under no obligation to approve a trade submitted for pre-clearance, and may determine not to permit a trade. If a Designated Insider seeks</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pre-clearance and permission to engage in the trade is denied, then such Designated Insider should refrain from initiating any trade in Company securities and should not inform any other person of the restrictions. Notwithstanding the foregoing, transactions in Company securities pursuant to a Rule 10b5-1 trading plan are not subject to the pre-clearance requirements of this paragraph, provided that the Rule 10b5-1 trading plan has been pre-approved as described below in Section 7.</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6.</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Special Blackout Periods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From time to time, due to material developments known to the Company that have not been disclosed publicly, the Company may impose a special blackout period (each, a “</w:t>
      </w:r>
      <w:r>
        <w:rPr>
          <w:rFonts w:ascii="Times New Roman" w:hAnsi="Times New Roman"/>
          <w:b/>
          <w:color w:val="000000"/>
          <w:sz w:val="24"/>
        </w:rPr>
        <w:t>Special Blackout Period</w:t>
      </w:r>
      <w:r>
        <w:rPr>
          <w:rFonts w:ascii="Times New Roman" w:hAnsi="Times New Roman"/>
          <w:color w:val="000000"/>
          <w:sz w:val="20"/>
        </w:rPr>
        <w:t>”</w:t>
      </w:r>
      <w:r>
        <w:rPr>
          <w:rFonts w:ascii="Times New Roman" w:hAnsi="Times New Roman"/>
          <w:color w:val="000000"/>
          <w:sz w:val="24"/>
        </w:rPr>
        <w:t>) in addition to the Quarterly Blackout Period. During any Special Blackout Period, Designated Insiders, and any other insiders designated by the Company, and their respective Related Parties will not be permitted to trade in Company securities. No insider may disclose to any other person that a Special Blackout Period has been designated, because the Special Blackout Period itself may be Material Nonpublic Information.</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7.</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Trading Plans</w:t>
      </w:r>
    </w:p>
    <w:p>
      <w:pPr>
        <w:pStyle w:val="TextBody"/>
        <w:bidi w:val="0"/>
        <w:jc w:val="both"/>
        <w:rPr/>
      </w:pPr>
      <w:r>
        <w:rPr/>
        <w:t> </w:t>
      </w:r>
    </w:p>
    <w:p>
      <w:pPr>
        <w:pStyle w:val="TextBody"/>
        <w:bidi w:val="0"/>
        <w:spacing w:before="94" w:after="240"/>
        <w:jc w:val="both"/>
        <w:rPr>
          <w:rFonts w:ascii="Times New Roman" w:hAnsi="Times New Roman"/>
          <w:sz w:val="20"/>
        </w:rPr>
      </w:pPr>
      <w:r>
        <w:rPr>
          <w:rFonts w:ascii="Times New Roman" w:hAnsi="Times New Roman"/>
          <w:color w:val="000000"/>
          <w:sz w:val="24"/>
        </w:rPr>
        <w:t>Rule 10b5-1 under the Securities Exchange Act of 1934, as amended (the “</w:t>
      </w:r>
      <w:r>
        <w:rPr>
          <w:rFonts w:ascii="Times New Roman" w:hAnsi="Times New Roman"/>
          <w:b/>
          <w:color w:val="000000"/>
          <w:sz w:val="24"/>
        </w:rPr>
        <w:t>Exchange Act</w:t>
      </w:r>
      <w:r>
        <w:rPr>
          <w:rFonts w:ascii="Times New Roman" w:hAnsi="Times New Roman"/>
          <w:color w:val="000000"/>
          <w:sz w:val="20"/>
        </w:rPr>
        <w:t>”</w:t>
      </w:r>
      <w:r>
        <w:rPr>
          <w:rFonts w:ascii="Times New Roman" w:hAnsi="Times New Roman"/>
          <w:color w:val="000000"/>
          <w:sz w:val="24"/>
        </w:rPr>
        <w:t>) provides an affirmative defense from insider trading liability under the federal securities laws for trading plans that meet certain requirements of such rule (each, a “</w:t>
      </w:r>
      <w:r>
        <w:rPr>
          <w:rFonts w:ascii="Times New Roman" w:hAnsi="Times New Roman"/>
          <w:b/>
          <w:color w:val="000000"/>
          <w:sz w:val="24"/>
        </w:rPr>
        <w:t>Trading Plan</w:t>
      </w:r>
      <w:r>
        <w:rPr>
          <w:rFonts w:ascii="Times New Roman" w:hAnsi="Times New Roman"/>
          <w:color w:val="000000"/>
          <w:sz w:val="20"/>
        </w:rPr>
        <w:t>”</w:t>
      </w:r>
      <w:r>
        <w:rPr>
          <w:rFonts w:ascii="Times New Roman" w:hAnsi="Times New Roman"/>
          <w:color w:val="000000"/>
          <w:sz w:val="24"/>
        </w:rPr>
        <w:t>). An insider that has adopted a Trading Plan in compliance with Rule 10b5-1 under the Exchange Act can engage in transactions over an extended period of time, even during a Quarterly Blackout Period or Special Blackout Period, as long as the insider is not aware of Material Nonpublic Information at the time the insider entered into the Trading Plan and has acted in good faith with respect to the plan.</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Insiders may trade in Company securities pursuant to a Trading Plan, provided that the Trading Plan has been approved in advance by the General Counsel of the Company (or any other person designated by him or her) prior to the individual’s entry into the Trading Plan. In the event that the General Counsel of the Company desires to trade in Company securities pursuant to a Trading Plan, pre-approval of such plan by the President or Chief Executive Officer is required. While the Company’s General Counsel (or President or Chief Executive Officer, in the case of a Trading Plan proposed to be adopted by the General Counsel) has absolute discretion whether to approve a proposed Trading Plan, the Trading Plan must comply with the following minimum requirements:</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4"/>
        </w:rPr>
        <w:t xml:space="preserve">the Trading Plan must be adopted at a time other than during a Quarterly Blackout Period or Special Blackout Period </w:t>
      </w:r>
      <w:r>
        <w:rPr>
          <w:rFonts w:ascii="Times New Roman" w:hAnsi="Times New Roman"/>
          <w:color w:val="000000"/>
          <w:sz w:val="24"/>
          <w:u w:val="single"/>
        </w:rPr>
        <w:t>and</w:t>
      </w:r>
      <w:r>
        <w:rPr>
          <w:color w:val="000000"/>
        </w:rPr>
        <w:t xml:space="preserve"> </w:t>
      </w:r>
      <w:r>
        <w:rPr>
          <w:rFonts w:ascii="Times New Roman" w:hAnsi="Times New Roman"/>
          <w:color w:val="000000"/>
          <w:sz w:val="24"/>
        </w:rPr>
        <w:t>when the insider is not aware of Material Nonpublic Information, and the Trading Plan must contain a representation confirming that the insider is not aware of material non-public information about the Company or its securities;</w:t>
      </w:r>
    </w:p>
    <w:p>
      <w:pPr>
        <w:pStyle w:val="TextBody"/>
        <w:bidi w:val="0"/>
        <w:spacing w:before="0" w:after="24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the insider must enter into the Trading Plan in good faith and not as part of a plan or scheme to evade the prohibitions of Rule 10b5-1 under the Exchange Act, the insider must act in good faith with respect to the Trading Plan, and the Trading Plan must contain a representation confirming that such plan is being “entered into in good faith” and not as part of a plan or scheme to evade the prohibitions of Rule 10b5-1;</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color w:val="000000"/>
        </w:rPr>
      </w:pPr>
      <w:r>
        <w:rPr>
          <w:color w:val="000000"/>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Trading Plan must be a written plan or binding contract and must specify the amount of securities to be traded, the prices and the date of transactions or a written algorithm or formula for determining the amounts, prices and dates of transactions under the Trading Plan;</w:t>
      </w:r>
    </w:p>
    <w:p>
      <w:pPr>
        <w:pStyle w:val="TextBody"/>
        <w:bidi w:val="0"/>
        <w:spacing w:before="0" w:after="240"/>
        <w:jc w:val="both"/>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 xml:space="preserve">the Trading Plan must have a minimum duration of six months and a maximum duration of two years, unless a shorter or longer term is approved by the General Counsel (or President or Chief Executive Officer, in the case of a Trading Plan proposed to be adopted by the General Counsel); </w:t>
      </w:r>
    </w:p>
    <w:p>
      <w:pPr>
        <w:pStyle w:val="TextBody"/>
        <w:bidi w:val="0"/>
        <w:spacing w:before="0" w:after="24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4"/>
        </w:rPr>
        <w:t>sales or purchases may not commence under the Trading Plan until the expiration of a waiting period which is (a) for an insider who is not a director or officer of the Company, 30 days after such plan is adopted, and (b) for an insider who is a director or officer of the Company, the later of (i) 90 days after such plan is adopted, or (ii) two (2) business days following the filing of the Company’s Form 10-Q or Form 10-K containing financial results for the fiscal quarter in which the Trading Plan was adopted (subject to a maximum waiting period of 120 days) (such period in which trades may not occur, the “</w:t>
      </w:r>
      <w:r>
        <w:rPr>
          <w:rFonts w:ascii="Times New Roman" w:hAnsi="Times New Roman"/>
          <w:b/>
          <w:color w:val="000000"/>
          <w:sz w:val="24"/>
        </w:rPr>
        <w:t>Cooling-Off Period</w:t>
      </w:r>
      <w:r>
        <w:rPr>
          <w:color w:val="000000"/>
        </w:rPr>
        <w:t>”</w:t>
      </w:r>
      <w:r>
        <w:rPr>
          <w:rFonts w:ascii="Times New Roman" w:hAnsi="Times New Roman"/>
          <w:color w:val="000000"/>
          <w:sz w:val="24"/>
        </w:rPr>
        <w:t>);</w:t>
      </w:r>
    </w:p>
    <w:p>
      <w:pPr>
        <w:pStyle w:val="TextBody"/>
        <w:bidi w:val="0"/>
        <w:spacing w:before="0" w:after="240"/>
        <w:jc w:val="both"/>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no more than one Trading Plan to effect open market purchases or sales of Company securities beneficially owned by an insider may be in effect at any time, except that, during the term of a Trading Plan, such insider may:</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jc w:val="both"/>
        <w:rPr>
          <w:rFonts w:ascii="Times New Roman" w:hAnsi="Times New Roman"/>
          <w:color w:val="000000"/>
          <w:sz w:val="24"/>
        </w:rPr>
      </w:pPr>
      <w:r>
        <w:rPr>
          <w:rFonts w:ascii="Times New Roman" w:hAnsi="Times New Roman"/>
          <w:color w:val="000000"/>
          <w:sz w:val="24"/>
        </w:rPr>
        <w:t xml:space="preserve">adopt an additional Trading Plan in compliance with this policy with any transactions to take effect upon the completion or expiration of the insider’s current Trading Plan; provided, however, that if the insider’s current Trading Plan is terminated before its originally scheduled completion date, then the Cooling-Off Period for the later-commencing Trading Plan shall run from the date of such termination (and not from the date the later-commencing Trading Plan was adopted); and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o</w:t>
      </w:r>
    </w:p>
    <w:p>
      <w:pPr>
        <w:pStyle w:val="TextBody"/>
        <w:bidi w:val="0"/>
        <w:spacing w:before="0" w:after="0"/>
        <w:jc w:val="both"/>
        <w:rPr/>
      </w:pPr>
      <w:r>
        <w:rPr>
          <w:rFonts w:ascii="Times New Roman" w:hAnsi="Times New Roman"/>
          <w:color w:val="000000"/>
          <w:sz w:val="24"/>
        </w:rPr>
        <w:t>enter into another contract, instruction or plan providing only for the sale of such securities as are necessary to satisfy tax withholding obligations arising exclusively from the vesting of a compensatory award, and provided that the insider does not exercise control over the timing of such sales (a “</w:t>
      </w:r>
      <w:r>
        <w:rPr>
          <w:rFonts w:ascii="Times New Roman" w:hAnsi="Times New Roman"/>
          <w:b/>
          <w:color w:val="000000"/>
          <w:sz w:val="24"/>
        </w:rPr>
        <w:t>Sell-to-Cover Plan</w:t>
      </w:r>
      <w:r>
        <w:rPr>
          <w:color w:val="000000"/>
        </w:rPr>
        <w:t>”</w:t>
      </w:r>
      <w:r>
        <w:rPr>
          <w:rFonts w:ascii="Times New Roman" w:hAnsi="Times New Roman"/>
          <w:color w:val="000000"/>
          <w:sz w:val="24"/>
        </w:rPr>
        <w:t>);</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other than Sell-to-Cover Plans, no more than one (1) Trading Plan designed to effect the open-market purchase or sale in a single transaction of the total amount of Company securities subject to the Trading Plan may be adopted within any twelve (12) month period;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during the term of a Trading Plan, all transactions covered by the Trading Plan must occur pursuant to such plan and an insider may not alter or deviate from the terms of the Trading Plan or enter into or alter a corresponding or hedging transaction or position with respect to the securities to be purchased or sold under the Trading Plan;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4"/>
        </w:rPr>
      </w:pPr>
      <w:r>
        <w:rPr>
          <w:rFonts w:ascii="Times New Roman" w:hAnsi="Times New Roman"/>
          <w:color w:val="000000"/>
          <w:sz w:val="24"/>
        </w:rPr>
        <w:t xml:space="preserve">any modification or termination of a Trading Plan must be pre-approved in advance by the General Counsel of the Company (or any other person designated by him or her) prior to any such modification or termination, and a modification of a Trading Plan must satisfy all of the requirements of Rule 10b5-1 and the provisions of this Section 7 as if such modification constituted the adoption of a new Trading Plan (it being understood that a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rFonts w:ascii="Times New Roman" w:hAnsi="Times New Roman"/>
          <w:color w:val="000000"/>
          <w:sz w:val="24"/>
        </w:rPr>
        <w:t>modification of a Trading Plan includes any change to the amount, price, or timing of the purchase or sale of securities under such plan, but shall not include the substitution of the broker executing trades thereunder as long as such modified plan does not change the price, amount of securities to be purchased or sold or dates on which such purchases or sales are to be executed);</w:t>
      </w:r>
      <w:r>
        <w:rPr>
          <w:color w:val="000000"/>
        </w:rPr>
        <w:t xml:space="preserve"> </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 xml:space="preserve">the Trading Plan must contain and comply with such other terms, conditions and restrictions as may be required by Rule 10b5-1 and applicable SEC rules as in effect from time to time. </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8.</w:t>
      </w:r>
    </w:p>
    <w:p>
      <w:pPr>
        <w:pStyle w:val="TextBody"/>
        <w:bidi w:val="0"/>
        <w:jc w:val="both"/>
        <w:rPr/>
      </w:pPr>
      <w:r>
        <w:rPr>
          <w:rFonts w:ascii="Times New Roman" w:hAnsi="Times New Roman"/>
          <w:b/>
          <w:color w:val="000000"/>
          <w:sz w:val="24"/>
          <w:u w:val="single"/>
        </w:rPr>
        <w:t>Additional Restrictions on Trades by Insiders</w:t>
      </w:r>
      <w:r>
        <w:rPr>
          <w:color w:val="00000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The following additional restrictions apply to any trading in Company securities by insiders:</w:t>
      </w:r>
      <w:r>
        <w:rPr>
          <w:rFonts w:ascii="Times New Roman" w:hAnsi="Times New Roman"/>
          <w:color w:val="000000"/>
          <w:sz w:val="20"/>
        </w:rPr>
        <w:t xml:space="preserve"> </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4"/>
        </w:rPr>
        <w:t>Short Sales</w:t>
      </w:r>
      <w:r>
        <w:rPr>
          <w:rFonts w:ascii="Times New Roman" w:hAnsi="Times New Roman"/>
          <w:color w:val="000000"/>
          <w:sz w:val="24"/>
        </w:rPr>
        <w:t>. Short sales of the Company’s securities (generally, the sale of a security that the seller does not own) may evidence an expectation on the part of the seller that the securities will decline in value, and therefore signal to the market that the seller lacks confidence in the Company’s prospects. Additionally, short sales may reduce a seller’s incentive to seek to improve the Company’s performance. For these reasons, insiders are prohibited from engaging in short sales of Company securities, which are illegal for officers and directors pursuant to Section 16(c) of the Exchange Act.</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4"/>
        </w:rPr>
        <w:t xml:space="preserve">Publicly Traded Options. </w:t>
      </w:r>
      <w:r>
        <w:rPr>
          <w:rFonts w:ascii="Times New Roman" w:hAnsi="Times New Roman"/>
          <w:color w:val="000000"/>
          <w:sz w:val="24"/>
        </w:rPr>
        <w:t>Trading in “puts” and “calls” (publicly traded options to buy or sell stock) or other derivative securities may create the appearance that an insider is trading based on Material Nonpublic Information and focus an insider’s attention on short-term performance at the expense of the Company’s long-term objectives. Therefore, insiders are prohibited from engaging in transactions in put options, call options or other derivative securities, on an exchange or in any other organized market, even when they are not aware of Material Nonpublic Information at the time of the transaction.</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4"/>
        </w:rPr>
        <w:t xml:space="preserve">Hedging Transactions. </w:t>
      </w:r>
      <w:r>
        <w:rPr>
          <w:rFonts w:ascii="Times New Roman" w:hAnsi="Times New Roman"/>
          <w:color w:val="000000"/>
          <w:sz w:val="24"/>
        </w:rPr>
        <w:t>Certain forms of hedging or monetization transactions allow a person to lock in much of the value of his or her stock holdings, often in exchange for all or part of the potential for upside appreciation in the stock. These transactions may allow the person to continue to own the covered securities, but without the full risks and rewards of ownership. When that occurs, an insider entering into such transactions may no longer have the same objectives as the Company’s other stockholders. Therefore, insiders are prohibited from purchasing financial instruments (including prepaid variable forward contracts, equity swaps, collars and exchange funds), or otherwise engaging in transactions, that hedge or offset, or are designed to hedge or offset, any decrease in the market value of Company securities. Engaging in such transactions is prohibited even if the insider is not aware of Material Nonpublic Information at the time of the transaction.</w:t>
      </w:r>
    </w:p>
    <w:p>
      <w:pPr>
        <w:pStyle w:val="TextBody"/>
        <w:bidi w:val="0"/>
        <w:jc w:val="both"/>
        <w:rPr/>
      </w:pPr>
      <w:r>
        <w:rPr/>
        <w:t> </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i/>
          <w:color w:val="000000"/>
          <w:sz w:val="24"/>
        </w:rPr>
        <w:t xml:space="preserve">Margin Accounts and Pledged Securities. </w:t>
      </w:r>
      <w:r>
        <w:rPr>
          <w:rFonts w:ascii="Times New Roman" w:hAnsi="Times New Roman"/>
          <w:color w:val="000000"/>
          <w:sz w:val="24"/>
        </w:rPr>
        <w:t xml:space="preserve">Securities held by an insider in a margin account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could occur at a time when the insider is aware of Material Nonpublic Information or otherwise is not permitted to trade in Company securities, insiders are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prohibited from margining the Company securities in a margin account or pledging Company securities as collateral for a loan.</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9.</w:t>
      </w:r>
    </w:p>
    <w:p>
      <w:pPr>
        <w:pStyle w:val="TextBody"/>
        <w:bidi w:val="0"/>
        <w:jc w:val="both"/>
        <w:rPr>
          <w:rFonts w:ascii="Times New Roman" w:hAnsi="Times New Roman"/>
          <w:b/>
          <w:color w:val="000000"/>
          <w:sz w:val="24"/>
          <w:u w:val="single"/>
        </w:rPr>
      </w:pPr>
      <w:r>
        <w:rPr>
          <w:rFonts w:ascii="Times New Roman" w:hAnsi="Times New Roman"/>
          <w:b/>
          <w:color w:val="000000"/>
          <w:sz w:val="24"/>
          <w:u w:val="single"/>
        </w:rPr>
        <w:t>Policy Continues to Apply After Termination of Employment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This policy continues to apply to the insider’s transactions in Company securities even after an insider has terminated employment with the Company. If you are in possession of Material Nonpublic Information when your employment terminates, you may not trade in Company securities until that information has become public or is no longer material.</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10.</w:t>
      </w:r>
    </w:p>
    <w:p>
      <w:pPr>
        <w:pStyle w:val="TextBody"/>
        <w:bidi w:val="0"/>
        <w:jc w:val="both"/>
        <w:rPr/>
      </w:pPr>
      <w:r>
        <w:rPr>
          <w:rFonts w:ascii="Times New Roman" w:hAnsi="Times New Roman"/>
          <w:b/>
          <w:color w:val="000000"/>
          <w:sz w:val="24"/>
          <w:u w:val="single"/>
        </w:rPr>
        <w:t>Consequences of Violations of This Policy</w:t>
      </w:r>
      <w:r>
        <w:rPr>
          <w:color w:val="00000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Any violation of this policy by a director, officer, employee, consultant or contractor may result in disciplinary action, up to and including termination of employment or of other relationships with the Company, whether or not the insider’s failure to comply results in a violation of law.</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addition, individuals may be subject to civil and criminal penalties for insider trading violations. The federal government may also seek an injunction, bring administrative proceedings and/or commence criminal prosecutions, potentially resulting in fines (up to $5 million per violation), imprisonment (up to twenty years per violation) or both. Civil penalties may be sought by the government for up to three times the profits made (or three times the losses avoided).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Under certain circumstances, the Company may also be subject to civil fines equal to the greater of three times the profit made (or loss avoided) or $1 million, and criminal fines up to $25 million.</w:t>
      </w:r>
    </w:p>
    <w:p>
      <w:pPr>
        <w:pStyle w:val="TextBody"/>
        <w:bidi w:val="0"/>
        <w:jc w:val="both"/>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11.</w:t>
      </w:r>
    </w:p>
    <w:p>
      <w:pPr>
        <w:pStyle w:val="TextBody"/>
        <w:bidi w:val="0"/>
        <w:jc w:val="both"/>
        <w:rPr/>
      </w:pPr>
      <w:r>
        <w:rPr>
          <w:rFonts w:ascii="Times New Roman" w:hAnsi="Times New Roman"/>
          <w:b/>
          <w:color w:val="000000"/>
          <w:sz w:val="24"/>
          <w:u w:val="single"/>
        </w:rPr>
        <w:t>Inquiries</w:t>
      </w:r>
      <w:r>
        <w:rPr>
          <w:color w:val="00000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Please contact the General Counsel with any questions or other inquiries regarding any of the provisions or procedures of this policy or the public or nonpublic status of Company information.</w:t>
      </w:r>
      <w:r>
        <w:rPr>
          <w:rFonts w:ascii="Times New Roman" w:hAnsi="Times New Roman"/>
          <w:color w:val="000000"/>
          <w:sz w:val="20"/>
        </w:rPr>
        <w:t xml:space="preserve">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 *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Designated Insiders</w:t>
      </w:r>
    </w:p>
    <w:p>
      <w:pPr>
        <w:pStyle w:val="TextBody"/>
        <w:bidi w:val="0"/>
        <w:jc w:val="center"/>
        <w:rPr>
          <w:rFonts w:ascii="Times New Roman" w:hAnsi="Times New Roman"/>
          <w:color w:val="000000"/>
          <w:sz w:val="24"/>
        </w:rPr>
      </w:pPr>
      <w:r>
        <w:rPr>
          <w:rFonts w:ascii="Times New Roman" w:hAnsi="Times New Roman"/>
          <w:color w:val="000000"/>
          <w:sz w:val="24"/>
        </w:rPr>
        <w:t>[List revised from time to time; on file with the Company]</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NKARTA, INC.</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INSIDER TRADING POLICY</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ACKNOWLEDGMENT FORM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 have received and read this Insider Trading Policy (this “</w:t>
      </w:r>
      <w:r>
        <w:rPr>
          <w:rFonts w:ascii="Times New Roman" w:hAnsi="Times New Roman"/>
          <w:b/>
          <w:color w:val="000000"/>
          <w:sz w:val="24"/>
        </w:rPr>
        <w:t>Policy</w:t>
      </w:r>
      <w:r>
        <w:rPr>
          <w:rFonts w:ascii="Times New Roman" w:hAnsi="Times New Roman"/>
          <w:color w:val="000000"/>
          <w:sz w:val="20"/>
        </w:rPr>
        <w:t>”</w:t>
      </w:r>
      <w:r>
        <w:rPr>
          <w:rFonts w:ascii="Times New Roman" w:hAnsi="Times New Roman"/>
          <w:color w:val="000000"/>
          <w:sz w:val="24"/>
        </w:rPr>
        <w:t>) of Nkarta, Inc. (the “</w:t>
      </w:r>
      <w:r>
        <w:rPr>
          <w:rFonts w:ascii="Times New Roman" w:hAnsi="Times New Roman"/>
          <w:b/>
          <w:color w:val="000000"/>
          <w:sz w:val="24"/>
        </w:rPr>
        <w:t>Company</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and I understand its contents. I agree to comply fully with this Policy. I understand that violations of insider trading laws may subject me to severe civil and/or criminal liabilities or penalties, and that violation of the terms of this Policy may subject me to discipline by the Company up to and including immediate termination of employment.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Printed Name: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Title: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Signature: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Date: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top w:val="single" w:sz="4" w:space="1" w:color="000000"/>
          <w:left w:val="single" w:sz="4" w:space="1" w:color="000000"/>
          <w:bottom w:val="single" w:sz="4" w:space="1" w:color="000000"/>
          <w:right w:val="single" w:sz="4" w:space="1" w:color="000000"/>
        </w:pBdr>
        <w:bidi w:val="0"/>
        <w:jc w:val="left"/>
        <w:rPr>
          <w:rFonts w:ascii="Times New Roman" w:hAnsi="Times New Roman"/>
          <w:sz w:val="20"/>
        </w:rPr>
      </w:pPr>
      <w:r>
        <w:rPr>
          <w:rFonts w:ascii="Times New Roman" w:hAnsi="Times New Roman"/>
          <w:i/>
          <w:color w:val="000000"/>
          <w:sz w:val="24"/>
        </w:rPr>
        <w:t>Instructions: Carefully read the Insider Trading Policy and sign this Acknowledgement form. The signed copy of the Acknowledgment form will be retained in your personnel file. Retain a copy of your signed Acknowledgement form along with the Insider Trading Policy for your records.</w:t>
      </w:r>
      <w:r>
        <w:rPr>
          <w:rFonts w:ascii="Times New Roman" w:hAnsi="Times New Roman"/>
          <w:color w:val="000000"/>
          <w:sz w:val="20"/>
        </w:rPr>
        <w:t xml:space="preserve">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nktx-ex23_1.htm"/>
      <w:bookmarkStart w:id="44" w:name="ksnktxex23_1"/>
      <w:bookmarkEnd w:id="43"/>
      <w:bookmarkEnd w:id="44"/>
      <w:r>
        <w:rPr/>
        <w:t> </w:t>
      </w:r>
      <w:r>
        <w:br w:type="page"/>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23.1</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We consent to the incorporation by reference in the following Registration Statements:</w:t>
      </w:r>
    </w:p>
    <w:p>
      <w:pPr>
        <w:pStyle w:val="TextBody"/>
        <w:bidi w:val="0"/>
        <w:jc w:val="both"/>
        <w:rPr/>
      </w:pPr>
      <w:r>
        <w:rPr/>
        <w:t>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Registration Statement (Form S-8 No. 333-240309) pertaining to the 2020 Performance Incentive Plan, Employee Stock Purchase Plan, and 2015 Equity Incentive Plan of Nkarta, Inc.,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(2)</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Registration Statement (Form S-8 No. 333-252134) pertaining to the 2020 Performance Incentive Plan and Employee Stock Purchase Plan of Nkarta, Inc.,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(3)</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Registration Statement (Form S-8 No. 333-263650) pertaining to the 2020 Performance Incentive Plan and Employee Stock Purchase Plan of Nkarta, Inc.,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(4)</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Registration Statement (Form S-8 No. 333-269164) pertaining to the 2020 Performance Incentive Plan and Employee Stock Purchase Plan of Nkarta, Inc.,</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(5)</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Registration Statement (Form S-8 No. 333-276361) pertaining to the 2020 Performance Incentive Plan and Employee Stock Purchase Plan of Nkarta, Inc.,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(6)</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 xml:space="preserve">Registration Statement (Form S-8 No. 333-284111) pertaining to the 2020 Performance Incentive Plan and Employee Stock Purchase Plan of Nkarta, Inc., </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(7)</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Registration Statement (Form S-8 No. 333-292579) pertaining to the 2020 Performance Incentive Plan and Employee Stock Purchase Plan of Nkarta, Inc., and</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(8)</w:t>
      </w:r>
    </w:p>
    <w:p>
      <w:pPr>
        <w:pStyle w:val="TextBody"/>
        <w:bidi w:val="0"/>
        <w:spacing w:before="0" w:after="200"/>
        <w:jc w:val="both"/>
        <w:rPr>
          <w:rFonts w:ascii="Times New Roman" w:hAnsi="Times New Roman"/>
          <w:color w:val="000000"/>
          <w:sz w:val="20"/>
        </w:rPr>
      </w:pPr>
      <w:r>
        <w:rPr>
          <w:rFonts w:ascii="Times New Roman" w:hAnsi="Times New Roman"/>
          <w:color w:val="000000"/>
          <w:sz w:val="20"/>
        </w:rPr>
        <w:t>Registration Statement (Form S-3 No. 333-270680);</w:t>
      </w:r>
    </w:p>
    <w:p>
      <w:pPr>
        <w:pStyle w:val="TextBody"/>
        <w:bidi w:val="0"/>
        <w:jc w:val="left"/>
        <w:rPr>
          <w:rFonts w:ascii="Times New Roman" w:hAnsi="Times New Roman"/>
          <w:color w:val="000000"/>
          <w:sz w:val="20"/>
        </w:rPr>
      </w:pPr>
      <w:r>
        <w:rPr>
          <w:rFonts w:ascii="Times New Roman" w:hAnsi="Times New Roman"/>
          <w:color w:val="000000"/>
          <w:sz w:val="20"/>
        </w:rPr>
        <w:t>of our report dated March 25, 2026, with respect to the financial statements of Nkarta, Inc. included in this Annual Report (Form 10-K) of Nkarta, Inc. for the year ended December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San Mateo, California</w:t>
      </w:r>
    </w:p>
    <w:p>
      <w:pPr>
        <w:pStyle w:val="TextBody"/>
        <w:bidi w:val="0"/>
        <w:jc w:val="left"/>
        <w:rPr>
          <w:rFonts w:ascii="Times New Roman" w:hAnsi="Times New Roman"/>
          <w:color w:val="000000"/>
          <w:sz w:val="20"/>
        </w:rPr>
      </w:pPr>
      <w:r>
        <w:rPr>
          <w:rFonts w:ascii="Times New Roman" w:hAnsi="Times New Roman"/>
          <w:color w:val="000000"/>
          <w:sz w:val="20"/>
        </w:rPr>
        <w:t>March 25,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nktx-ex31_1.htm"/>
      <w:bookmarkStart w:id="46" w:name="ksnktxex31_1"/>
      <w:bookmarkEnd w:id="45"/>
      <w:bookmarkEnd w:id="46"/>
      <w:r>
        <w:rPr>
          <w:rFonts w:ascii="Times New Roman" w:hAnsi="Times New Roman"/>
          <w:b/>
          <w:color w:val="000000"/>
          <w:sz w:val="20"/>
        </w:rPr>
        <w:t>Exhibit 31.1</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Paul J. Hastings,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(the “report”)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891"/>
        <w:gridCol w:w="109"/>
        <w:gridCol w:w="406"/>
        <w:gridCol w:w="21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nktx-ex31_2.htm"/>
      <w:bookmarkStart w:id="48" w:name="ksnktxex31_2"/>
      <w:bookmarkEnd w:id="47"/>
      <w:bookmarkEnd w:id="48"/>
      <w:r>
        <w:rPr>
          <w:rFonts w:ascii="Times New Roman" w:hAnsi="Times New Roman"/>
          <w:b/>
          <w:color w:val="000000"/>
          <w:sz w:val="20"/>
        </w:rPr>
        <w:t>Exhibit 31.2</w:t>
      </w:r>
      <w:r>
        <w:br w:type="page"/>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Nadir Mahmood,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Annual Report on Form 10-K (the “report”)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HorizontalLine"/>
        <w:pBdr>
          <w:bottom w:val="double" w:sz="2" w:space="0" w:color="808080"/>
        </w:pBdr>
        <w:bidi w:val="0"/>
        <w:spacing w:before="0" w:after="283"/>
        <w:jc w:val="left"/>
        <w:rPr/>
      </w:pPr>
      <w:r>
        <w:rPr/>
      </w:r>
    </w:p>
    <w:p>
      <w:pPr>
        <w:pStyle w:val="TextBody"/>
        <w:bidi w:val="0"/>
        <w:spacing w:before="240" w:after="283"/>
        <w:jc w:val="left"/>
        <w:rPr/>
      </w:pPr>
      <w:r>
        <w:rPr/>
        <w:t> </w:t>
      </w:r>
    </w:p>
    <w:tbl>
      <w:tblPr>
        <w:tblW w:w="4132" w:type="dxa"/>
        <w:jc w:val="left"/>
        <w:tblInd w:w="0" w:type="dxa"/>
        <w:tblLayout w:type="fixed"/>
        <w:tblCellMar>
          <w:top w:w="28" w:type="dxa"/>
          <w:left w:w="28" w:type="dxa"/>
          <w:bottom w:w="28" w:type="dxa"/>
          <w:right w:w="28" w:type="dxa"/>
        </w:tblCellMar>
      </w:tblPr>
      <w:tblGrid>
        <w:gridCol w:w="1891"/>
        <w:gridCol w:w="109"/>
        <w:gridCol w:w="406"/>
        <w:gridCol w:w="172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9" w:name="nktx-ex32.htm"/>
      <w:bookmarkStart w:id="50" w:name="ksnktxex32"/>
      <w:bookmarkEnd w:id="49"/>
      <w:bookmarkEnd w:id="5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on Form 10-K for the year ended December 31, 2025 of Nkarta, Inc. (the “Company”) as filed with the Securities and Exchange Commission on the date hereof (the "Report"), we, Paul J. Hastings, Chief Executive Officer of the Company, and Nadir Mahmood, Presient of the Company,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537" w:type="dxa"/>
        <w:jc w:val="left"/>
        <w:tblInd w:w="0" w:type="dxa"/>
        <w:tblLayout w:type="fixed"/>
        <w:tblCellMar>
          <w:top w:w="28" w:type="dxa"/>
          <w:left w:w="28" w:type="dxa"/>
          <w:bottom w:w="28" w:type="dxa"/>
          <w:right w:w="28" w:type="dxa"/>
        </w:tblCellMar>
      </w:tblPr>
      <w:tblGrid>
        <w:gridCol w:w="1891"/>
        <w:gridCol w:w="109"/>
        <w:gridCol w:w="406"/>
        <w:gridCol w:w="2131"/>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tbl>
      <w:tblPr>
        <w:tblW w:w="4132" w:type="dxa"/>
        <w:jc w:val="left"/>
        <w:tblInd w:w="0" w:type="dxa"/>
        <w:tblLayout w:type="fixed"/>
        <w:tblCellMar>
          <w:top w:w="28" w:type="dxa"/>
          <w:left w:w="28" w:type="dxa"/>
          <w:bottom w:w="28" w:type="dxa"/>
          <w:right w:w="28" w:type="dxa"/>
        </w:tblCellMar>
      </w:tblPr>
      <w:tblGrid>
        <w:gridCol w:w="1891"/>
        <w:gridCol w:w="109"/>
        <w:gridCol w:w="406"/>
        <w:gridCol w:w="1726"/>
      </w:tblGrid>
      <w:tr>
        <w:trPr/>
        <w:tc>
          <w:tcPr>
            <w:tcW w:w="1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25,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rPr/>
        <w:tc>
          <w:tcPr>
            <w:tcW w:w="1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18"/>
        </w:rPr>
      </w:pPr>
      <w:r>
        <w:rPr>
          <w:rFonts w:ascii="Times New Roman" w:hAnsi="Times New Roman"/>
          <w:i/>
          <w:color w:val="000000"/>
          <w:sz w:val="18"/>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www.sec.gov/Archives/edgar/data/1787400/000119312520192614/d62111dex31.htm" TargetMode="External"/><Relationship Id="rId12" Type="http://schemas.openxmlformats.org/officeDocument/2006/relationships/hyperlink" Target="https://www.sec.gov/Archives/edgar/data/1787400/000095017023027263/nktx-ex3_1.htm" TargetMode="External"/><Relationship Id="rId13" Type="http://schemas.openxmlformats.org/officeDocument/2006/relationships/hyperlink" Target="https://www.sec.gov/Archives/edgar/data/1787400/000095017024073046/nktx-ex3_1.htm" TargetMode="External"/><Relationship Id="rId14" Type="http://schemas.openxmlformats.org/officeDocument/2006/relationships/hyperlink" Target="https://www.sec.gov/Archives/edgar/data/1787400/000119312520192614/d62111dex32.htm" TargetMode="External"/><Relationship Id="rId15" Type="http://schemas.openxmlformats.org/officeDocument/2006/relationships/hyperlink" Target="https://www.sec.gov/Archives/edgar/data/1787400/000119312520186953/d884708dex41.htm" TargetMode="External"/><Relationship Id="rId16" Type="http://schemas.openxmlformats.org/officeDocument/2006/relationships/hyperlink" Target="https://www.sec.gov/Archives/edgar/data/1787400/000119312520186953/d884708dex41.htm" TargetMode="External"/><Relationship Id="rId17" Type="http://schemas.openxmlformats.org/officeDocument/2006/relationships/hyperlink" Target="https://www.sec.gov/Archives/edgar/data/1787400/000119312520173939/d884708dex42.htm" TargetMode="External"/><Relationship Id="rId18" Type="http://schemas.openxmlformats.org/officeDocument/2006/relationships/hyperlink" Target="https://www.sec.gov/Archives/edgar/data/1787400/000119312520186953/d884708dex101.htm" TargetMode="External"/><Relationship Id="rId19" Type="http://schemas.openxmlformats.org/officeDocument/2006/relationships/hyperlink" Target="https://www.sec.gov/Archives/edgar/data/1787400/000119312520173939/d884708dex102.htm" TargetMode="External"/><Relationship Id="rId20" Type="http://schemas.openxmlformats.org/officeDocument/2006/relationships/hyperlink" Target="https://www.sec.gov/Archives/edgar/data/1787400/000119312520173939/d884708dex103.htm" TargetMode="External"/><Relationship Id="rId21" Type="http://schemas.openxmlformats.org/officeDocument/2006/relationships/hyperlink" Target="https://www.sec.gov/Archives/edgar/data/1787400/000119312520186953/d884708dex104.htm" TargetMode="External"/><Relationship Id="rId22" Type="http://schemas.openxmlformats.org/officeDocument/2006/relationships/hyperlink" Target="https://www.sec.gov/Archives/edgar/data/1787400/000156459020040819/nktx-ex105_289.htm" TargetMode="External"/><Relationship Id="rId23" Type="http://schemas.openxmlformats.org/officeDocument/2006/relationships/hyperlink" Target="https://www.sec.gov/Archives/edgar/data/1787400/000095017023008523/nktx-ex10_3c.htm" TargetMode="External"/><Relationship Id="rId24" Type="http://schemas.openxmlformats.org/officeDocument/2006/relationships/hyperlink" Target="https://www.sec.gov/Archives/edgar/data/1787400/000156459020040819/nktx-ex106_290.htm" TargetMode="External"/><Relationship Id="rId25" Type="http://schemas.openxmlformats.org/officeDocument/2006/relationships/hyperlink" Target="https://www.sec.gov/Archives/edgar/data/1787400/000095017023008523/nktx-ex10_3e.htm" TargetMode="External"/><Relationship Id="rId26" Type="http://schemas.openxmlformats.org/officeDocument/2006/relationships/hyperlink" Target="https://www.sec.gov/Archives/edgar/data/1787400/000095017023008523/nktx-ex10_3f.htm" TargetMode="External"/><Relationship Id="rId27" Type="http://schemas.openxmlformats.org/officeDocument/2006/relationships/hyperlink" Target="https://www.sec.gov/Archives/edgar/data/1787400/000119312520186953/d884708dex105.htm" TargetMode="External"/><Relationship Id="rId28" Type="http://schemas.openxmlformats.org/officeDocument/2006/relationships/hyperlink" Target="https://www.sec.gov/Archives/edgar/data/1787400/000095017023021277/nktx-ex10_2.htm" TargetMode="External"/><Relationship Id="rId29" Type="http://schemas.openxmlformats.org/officeDocument/2006/relationships/hyperlink" Target="https://www.sec.gov/Archives/edgar/data/0001787400/000119312520173939/d884708dex106.htm" TargetMode="External"/><Relationship Id="rId30" Type="http://schemas.openxmlformats.org/officeDocument/2006/relationships/hyperlink" Target="https://www.sec.gov/Archives/edgar/data/1787400/000095017024123395/nktx-ex10_1.htm" TargetMode="External"/><Relationship Id="rId31" Type="http://schemas.openxmlformats.org/officeDocument/2006/relationships/hyperlink" Target="https://www.sec.gov/Archives/edgar/data/1787400/000119312525178964/nktx-ex10_1.htm" TargetMode="External"/><Relationship Id="rId32" Type="http://schemas.openxmlformats.org/officeDocument/2006/relationships/hyperlink" Target="https://www.sec.gov/Archives/edgar/data/1787400/000156459021001077/nktx-ex101_8.htm" TargetMode="External"/><Relationship Id="rId33" Type="http://schemas.openxmlformats.org/officeDocument/2006/relationships/hyperlink" Target="https://www.sec.gov/Archives/edgar/data/1787400/000119312520173939/d884708dex109.htm" TargetMode="External"/><Relationship Id="rId34" Type="http://schemas.openxmlformats.org/officeDocument/2006/relationships/hyperlink" Target="https://www.sec.gov/Archives/edgar/data/1787400/000119312520173939/d884708dex1010.htm" TargetMode="External"/><Relationship Id="rId35" Type="http://schemas.openxmlformats.org/officeDocument/2006/relationships/hyperlink" Target="https://www.sec.gov/Archives/edgar/data/1787400/000119312520173939/d884708dex1011.htm" TargetMode="External"/><Relationship Id="rId36" Type="http://schemas.openxmlformats.org/officeDocument/2006/relationships/hyperlink" Target="https://www.sec.gov/Archives/edgar/data/1787400/000119312520173939/d884708dex1012.htm" TargetMode="External"/><Relationship Id="rId37" Type="http://schemas.openxmlformats.org/officeDocument/2006/relationships/hyperlink" Target="https://www.sec.gov/Archives/edgar/data/1787400/000156459021015517/nktx-ex1010d_137.htm" TargetMode="External"/><Relationship Id="rId38" Type="http://schemas.openxmlformats.org/officeDocument/2006/relationships/hyperlink" Target="https://www.sec.gov/Archives/edgar/data/0001787400/000156459021051572/nktx-ex101_8.htm" TargetMode="External"/><Relationship Id="rId39" Type="http://schemas.openxmlformats.org/officeDocument/2006/relationships/hyperlink" Target="https://www.sec.gov/Archives/edgar/data/1787400/000095017022016892/nktx-ex10_2.htm" TargetMode="External"/><Relationship Id="rId40" Type="http://schemas.openxmlformats.org/officeDocument/2006/relationships/hyperlink" Target="https://www.sec.gov/Archives/edgar/data/1787400/000095017025045262/nktx-ex10_10g.htm" TargetMode="External"/><Relationship Id="rId41" Type="http://schemas.openxmlformats.org/officeDocument/2006/relationships/hyperlink" Target="https://www.sec.gov/Archives/edgar/data/1787400/000156459021036496/nktx-ex101_6.htm" TargetMode="External"/><Relationship Id="rId42" Type="http://schemas.openxmlformats.org/officeDocument/2006/relationships/hyperlink" Target="https://www.sec.gov/Archives/edgar/data/1787400/000156459021056233/nktx-ex102_80.htm" TargetMode="External"/><Relationship Id="rId43" Type="http://schemas.openxmlformats.org/officeDocument/2006/relationships/hyperlink" Target="https://www.sec.gov/Archives/edgar/data/1787400/000095017022016892/nktx-ex10_1.htm" TargetMode="External"/><Relationship Id="rId44" Type="http://schemas.openxmlformats.org/officeDocument/2006/relationships/hyperlink" Target="https://www.sec.gov/Archives/edgar/data/1787400/000095017023021277/nktx-ex10_3.htm" TargetMode="External"/><Relationship Id="rId45" Type="http://schemas.openxmlformats.org/officeDocument/2006/relationships/hyperlink" Target="https://www.sec.gov/Archives/edgar/data/1787400/000095017023040953/nktx-ex10_2b.htm" TargetMode="External"/><Relationship Id="rId46" Type="http://schemas.openxmlformats.org/officeDocument/2006/relationships/hyperlink" Target="https://www.sec.gov/ix?doc=/Archives/edgar/data/0001787400/000095017024034735/nktx-20231231.htm"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90502</Words>
  <Characters>508535</Characters>
  <CharactersWithSpaces>599757</CharactersWithSpaces>
  <Paragraphs>7548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