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ind w:left="3880" w:right="1640" w:hanging="3859"/>
        <w:spacing w:after="0" w:line="230" w:lineRule="auto"/>
        <w:tabs>
          <w:tab w:leader="none" w:pos="488"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91" w:lineRule="exact"/>
        <w:rPr>
          <w:rFonts w:ascii="MS PGothic" w:cs="MS PGothic" w:eastAsia="MS PGothic" w:hAnsi="MS PGothic"/>
          <w:sz w:val="36"/>
          <w:szCs w:val="36"/>
          <w:color w:val="auto"/>
          <w:highlight w:val="black"/>
          <w:vertAlign w:val="superscript"/>
        </w:rPr>
      </w:pPr>
    </w:p>
    <w:p>
      <w:pPr>
        <w:ind w:left="5480"/>
        <w:spacing w:after="0"/>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OR</w:t>
      </w:r>
    </w:p>
    <w:p>
      <w:pPr>
        <w:spacing w:after="0" w:line="65"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34"/>
          <w:szCs w:val="34"/>
          <w:color w:val="auto"/>
          <w:highlight w:val="black"/>
          <w:vertAlign w:val="superscript"/>
        </w:rPr>
      </w:pPr>
      <w:r>
        <w:rPr>
          <w:rFonts w:ascii="Arial" w:cs="Arial" w:eastAsia="Arial" w:hAnsi="Arial"/>
          <w:sz w:val="17"/>
          <w:szCs w:val="17"/>
          <w:b w:val="1"/>
          <w:bCs w:val="1"/>
          <w:color w:val="auto"/>
        </w:rPr>
        <w:t>TRANSITION REPORT PURSUANT TO SECTION 13 OR 15(d) OF THE SECURITIES EXCHANGE ACT OF 1934</w:t>
      </w:r>
    </w:p>
    <w:p>
      <w:pPr>
        <w:spacing w:after="0" w:line="96" w:lineRule="exact"/>
        <w:rPr>
          <w:sz w:val="24"/>
          <w:szCs w:val="24"/>
          <w:color w:val="auto"/>
        </w:rPr>
      </w:pPr>
    </w:p>
    <w:p>
      <w:pPr>
        <w:ind w:left="338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Nkarta, Inc.</w:t>
      </w:r>
    </w:p>
    <w:p>
      <w:pPr>
        <w:sectPr>
          <w:pgSz w:w="11900" w:h="16838" w:orient="portrait"/>
          <w:cols w:equalWidth="0" w:num="1">
            <w:col w:w="11240"/>
          </w:cols>
          <w:pgMar w:left="320" w:top="503"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9"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12" w:lineRule="exact"/>
        <w:rPr>
          <w:sz w:val="24"/>
          <w:szCs w:val="24"/>
          <w:color w:val="auto"/>
        </w:rPr>
      </w:pPr>
    </w:p>
    <w:p>
      <w:pPr>
        <w:ind w:left="1860"/>
        <w:spacing w:after="0"/>
        <w:rPr>
          <w:sz w:val="20"/>
          <w:szCs w:val="20"/>
          <w:color w:val="auto"/>
        </w:rPr>
      </w:pPr>
      <w:r>
        <w:rPr>
          <w:rFonts w:ascii="Arial" w:cs="Arial" w:eastAsia="Arial" w:hAnsi="Arial"/>
          <w:sz w:val="18"/>
          <w:szCs w:val="18"/>
          <w:b w:val="1"/>
          <w:bCs w:val="1"/>
          <w:color w:val="auto"/>
        </w:rPr>
        <w:t>1150 Veterans Boulevard</w:t>
      </w:r>
    </w:p>
    <w:p>
      <w:pPr>
        <w:spacing w:after="0" w:line="27" w:lineRule="exact"/>
        <w:rPr>
          <w:sz w:val="24"/>
          <w:szCs w:val="24"/>
          <w:color w:val="auto"/>
        </w:rPr>
      </w:pPr>
    </w:p>
    <w:p>
      <w:pPr>
        <w:ind w:left="1860"/>
        <w:spacing w:after="0"/>
        <w:rPr>
          <w:sz w:val="20"/>
          <w:szCs w:val="20"/>
          <w:color w:val="auto"/>
        </w:rPr>
      </w:pPr>
      <w:r>
        <w:rPr>
          <w:rFonts w:ascii="Arial" w:cs="Arial" w:eastAsia="Arial" w:hAnsi="Arial"/>
          <w:sz w:val="18"/>
          <w:szCs w:val="18"/>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47-4515206</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62"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94080</w:t>
      </w:r>
    </w:p>
    <w:p>
      <w:pPr>
        <w:spacing w:after="0" w:line="35" w:lineRule="exact"/>
        <w:rPr>
          <w:sz w:val="24"/>
          <w:szCs w:val="24"/>
          <w:color w:val="auto"/>
        </w:rPr>
      </w:pPr>
    </w:p>
    <w:p>
      <w:pPr>
        <w:sectPr>
          <w:pgSz w:w="11900" w:h="16838" w:orient="portrait"/>
          <w:cols w:equalWidth="0" w:num="2">
            <w:col w:w="7700" w:space="240"/>
            <w:col w:w="3300"/>
          </w:cols>
          <w:pgMar w:left="320" w:top="503"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(925) 407-1049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360" w:type="dxa"/>
            <w:vAlign w:val="bottom"/>
          </w:tcPr>
          <w:p>
            <w:pPr>
              <w:ind w:left="20"/>
              <w:spacing w:after="0"/>
              <w:rPr>
                <w:sz w:val="20"/>
                <w:szCs w:val="20"/>
                <w:color w:val="auto"/>
              </w:rPr>
            </w:pPr>
            <w:r>
              <w:rPr>
                <w:rFonts w:ascii="Arial" w:cs="Arial" w:eastAsia="Arial" w:hAnsi="Arial"/>
                <w:sz w:val="16"/>
                <w:szCs w:val="16"/>
                <w:color w:val="auto"/>
              </w:rPr>
              <w:t>Common Stock, $0.0001 par value per share</w:t>
            </w:r>
          </w:p>
        </w:tc>
        <w:tc>
          <w:tcPr>
            <w:tcW w:w="14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NKTX</w:t>
            </w:r>
          </w:p>
        </w:tc>
        <w:tc>
          <w:tcPr>
            <w:tcW w:w="140" w:type="dxa"/>
            <w:vAlign w:val="bottom"/>
          </w:tcPr>
          <w:p>
            <w:pPr>
              <w:spacing w:after="0"/>
              <w:rPr>
                <w:sz w:val="17"/>
                <w:szCs w:val="17"/>
                <w:color w:val="auto"/>
              </w:rPr>
            </w:pPr>
          </w:p>
        </w:tc>
        <w:tc>
          <w:tcPr>
            <w:tcW w:w="436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206"/>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tcPr>
          <w:p>
            <w:pPr>
              <w:jc w:val="center"/>
              <w:spacing w:after="0"/>
              <w:rPr>
                <w:sz w:val="20"/>
                <w:szCs w:val="20"/>
                <w:color w:val="auto"/>
              </w:rPr>
            </w:pPr>
            <w:r>
              <w:rPr>
                <w:rFonts w:ascii="Arial" w:cs="Arial" w:eastAsia="Arial" w:hAnsi="Arial"/>
                <w:sz w:val="16"/>
                <w:szCs w:val="16"/>
                <w:color w:val="212529"/>
                <w:w w:val="92"/>
              </w:rPr>
              <w:t>(Nasdaq Global Select Market)</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6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40"/>
        <w:spacing w:after="0" w:line="26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7, 2023, the registrant had 49,058,234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260" w:type="dxa"/>
            <w:vAlign w:val="bottom"/>
            <w:gridSpan w:val="17"/>
          </w:tcPr>
          <w:p>
            <w:pPr>
              <w:spacing w:after="0" w:line="182" w:lineRule="exact"/>
              <w:rPr>
                <w:sz w:val="20"/>
                <w:szCs w:val="20"/>
                <w:color w:val="auto"/>
              </w:rPr>
            </w:pPr>
            <w:r>
              <w:rPr>
                <w:rFonts w:ascii="Arial" w:cs="Arial" w:eastAsia="Arial" w:hAnsi="Arial"/>
                <w:sz w:val="18"/>
                <w:szCs w:val="18"/>
                <w:color w:val="0000FF"/>
              </w:rPr>
              <w:t>FINANCIAL INFORMATION</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7"/>
          </w:tcPr>
          <w:p>
            <w:pPr>
              <w:spacing w:after="0"/>
              <w:rPr>
                <w:sz w:val="20"/>
                <w:szCs w:val="20"/>
                <w:color w:val="auto"/>
              </w:rPr>
            </w:pPr>
            <w:r>
              <w:rPr>
                <w:rFonts w:ascii="Arial" w:cs="Arial" w:eastAsia="Arial" w:hAnsi="Arial"/>
                <w:sz w:val="18"/>
                <w:szCs w:val="18"/>
                <w:color w:val="0000FF"/>
              </w:rPr>
              <w:t>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Condensed Balance Sheets as of June 30, 2023 and December 31, 2022</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w w:val="93"/>
              </w:rPr>
              <w:t>Condensed Statements of Operations and Comprehensive Loss for the three and six months ended June 30, 2023 and 2022</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Condensed Statements of Stockholders’ Equity for the three and six months ended June 30, 2023 and 2022</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Condensed Statements of Cash Flows for the six months ended June 30, 2023 and 2022</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Notes to Unaudited Condensed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20" w:type="dxa"/>
            <w:vAlign w:val="bottom"/>
            <w:tcBorders>
              <w:left w:val="single" w:sz="8" w:color="0000FF"/>
            </w:tcBorders>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2"/>
            <w:vMerge w:val="continue"/>
          </w:tcPr>
          <w:p>
            <w:pPr>
              <w:spacing w:after="0"/>
              <w:rPr>
                <w:sz w:val="24"/>
                <w:szCs w:val="24"/>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6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7"/>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4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0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96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6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0000FF"/>
                <w:w w:val="97"/>
              </w:rPr>
              <w:t>SIGNATURES</w:t>
            </w:r>
          </w:p>
        </w:tc>
        <w:tc>
          <w:tcPr>
            <w:tcW w:w="20" w:type="dxa"/>
            <w:vAlign w:val="bottom"/>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10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0" w:lineRule="exact"/>
        <w:rPr>
          <w:sz w:val="20"/>
          <w:szCs w:val="20"/>
          <w:color w:val="auto"/>
        </w:rPr>
      </w:pPr>
    </w:p>
    <w:p>
      <w:pPr>
        <w:spacing w:after="0" w:line="245"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This Quarterly Report on Form 10-Q, and the information incorporated herein by reference, particularly in the sections captioned “Risk Factors” under Part II, Item 1A, and “Management’s Discussion and Analysis of Financial Condition and Results of Operations” under Part I, Item 2, contains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w:t>
      </w:r>
    </w:p>
    <w:p>
      <w:pPr>
        <w:spacing w:after="0" w:line="167" w:lineRule="exact"/>
        <w:rPr>
          <w:sz w:val="20"/>
          <w:szCs w:val="20"/>
          <w:color w:val="auto"/>
        </w:rPr>
      </w:pPr>
    </w:p>
    <w:p>
      <w:pPr>
        <w:ind w:right="220" w:firstLine="374"/>
        <w:spacing w:after="0" w:line="279" w:lineRule="auto"/>
        <w:rPr>
          <w:sz w:val="20"/>
          <w:szCs w:val="20"/>
          <w:color w:val="auto"/>
        </w:rPr>
      </w:pPr>
      <w:r>
        <w:rPr>
          <w:rFonts w:ascii="Arial" w:cs="Arial" w:eastAsia="Arial" w:hAnsi="Arial"/>
          <w:sz w:val="17"/>
          <w:szCs w:val="17"/>
          <w:color w:val="auto"/>
        </w:rPr>
        <w:t>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71"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qualify all of our forward-looking statements by these cautionary statements.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spacing w:after="0" w:line="269"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have a limited operating history and do not have any products approved for sale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have incurred significant losses since our inception and we expect to continue to incur significant losses for the foreseeable future.</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have never generated revenue from product sales and may never achieve or maintain profitability.</w:t>
      </w:r>
    </w:p>
    <w:p>
      <w:pPr>
        <w:spacing w:after="0" w:line="117"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will require additional capital, which, if available, may cause dilution to our stockholders, restrict our operations or require us to relinquish rights to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business depends upon the success of our CAR NK cell technology platform.</w:t>
      </w:r>
    </w:p>
    <w:p>
      <w:pPr>
        <w:spacing w:after="0" w:line="117"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Utilizing CAR NK cells represents a novel approach to the treatment of cancer, and we must overcome significant challenges in order to develop, commercialize and manufacture our product candidates.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Clinical development involves a lengthy and expensive process with an uncertain outcome, and we may encounter substantial delays due to a variety of reasons outside our control.</w:t>
      </w:r>
    </w:p>
    <w:p>
      <w:pPr>
        <w:spacing w:after="0" w:line="62"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business is highly dependent on the clinical success of our product candidates, and on the clinical success of NKX101 and NKX019 in particular, and we may fail to develop NKX101, NKX019 and/or our other product candidates successfully or be unable to obtain regulatory approval for them.</w:t>
      </w:r>
    </w:p>
    <w:p>
      <w:pPr>
        <w:spacing w:after="0" w:line="75"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62" w:lineRule="exact"/>
        <w:rPr>
          <w:rFonts w:ascii="Arial" w:cs="Arial" w:eastAsia="Arial" w:hAnsi="Arial"/>
          <w:sz w:val="18"/>
          <w:szCs w:val="18"/>
          <w:color w:val="auto"/>
        </w:rPr>
      </w:pPr>
    </w:p>
    <w:p>
      <w:pPr>
        <w:jc w:val="both"/>
        <w:ind w:left="1020" w:right="28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spacing w:after="0" w:line="75"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If any of our product candidates, or any competing product candidates, demonstrate relevant, serious adverse events, we may be required to halt or delay further clinical development.</w:t>
      </w:r>
    </w:p>
    <w:p>
      <w:pPr>
        <w:spacing w:after="0" w:line="62" w:lineRule="exact"/>
        <w:rPr>
          <w:rFonts w:ascii="Arial" w:cs="Arial" w:eastAsia="Arial" w:hAnsi="Arial"/>
          <w:sz w:val="18"/>
          <w:szCs w:val="18"/>
          <w:color w:val="auto"/>
        </w:rPr>
      </w:pPr>
    </w:p>
    <w:p>
      <w:pPr>
        <w:ind w:left="1020" w:right="8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w:t>
      </w:r>
    </w:p>
    <w:p>
      <w:pPr>
        <w:spacing w:after="0" w:line="75" w:lineRule="exact"/>
        <w:rPr>
          <w:rFonts w:ascii="Arial" w:cs="Arial" w:eastAsia="Arial" w:hAnsi="Arial"/>
          <w:sz w:val="18"/>
          <w:szCs w:val="18"/>
          <w:color w:val="auto"/>
        </w:rPr>
      </w:pPr>
    </w:p>
    <w:p>
      <w:pPr>
        <w:ind w:left="1020" w:right="46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78"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62" w:lineRule="exact"/>
        <w:rPr>
          <w:rFonts w:ascii="Arial" w:cs="Arial" w:eastAsia="Arial" w:hAnsi="Arial"/>
          <w:sz w:val="18"/>
          <w:szCs w:val="18"/>
          <w:color w:val="auto"/>
        </w:rPr>
      </w:pPr>
    </w:p>
    <w:p>
      <w:pPr>
        <w:ind w:left="1020" w:right="30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75" w:lineRule="exact"/>
        <w:rPr>
          <w:rFonts w:ascii="Arial" w:cs="Arial" w:eastAsia="Arial" w:hAnsi="Arial"/>
          <w:sz w:val="18"/>
          <w:szCs w:val="18"/>
          <w:color w:val="auto"/>
        </w:rPr>
      </w:pPr>
    </w:p>
    <w:p>
      <w:pPr>
        <w:ind w:left="1020" w:right="10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are reliant on a sole supplier for certain steps of our manufacturing process.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ind w:left="503"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62" w:lineRule="exact"/>
        <w:rPr>
          <w:rFonts w:ascii="Arial" w:cs="Arial" w:eastAsia="Arial" w:hAnsi="Arial"/>
          <w:sz w:val="18"/>
          <w:szCs w:val="18"/>
          <w:color w:val="auto"/>
        </w:rPr>
      </w:pPr>
    </w:p>
    <w:p>
      <w:pPr>
        <w:ind w:left="503" w:right="10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our license agreement with National University of Singapore and St. Jude Children’s Research Hospital, Inc. is terminated, we could lose our rights to key components enabling our NK cell engineering platform.</w:t>
      </w:r>
    </w:p>
    <w:p>
      <w:pPr>
        <w:spacing w:after="0" w:line="62" w:lineRule="exact"/>
        <w:rPr>
          <w:rFonts w:ascii="Arial" w:cs="Arial" w:eastAsia="Arial" w:hAnsi="Arial"/>
          <w:sz w:val="18"/>
          <w:szCs w:val="18"/>
          <w:color w:val="auto"/>
        </w:rPr>
      </w:pPr>
    </w:p>
    <w:p>
      <w:pPr>
        <w:ind w:left="503" w:right="44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any patent protection we obtain is not sufficiently robust, our competitors could develop and commercialize products and technology similar or identical to ours.</w:t>
      </w:r>
    </w:p>
    <w:p>
      <w:pPr>
        <w:spacing w:after="0" w:line="62" w:lineRule="exact"/>
        <w:rPr>
          <w:rFonts w:ascii="Arial" w:cs="Arial" w:eastAsia="Arial" w:hAnsi="Arial"/>
          <w:sz w:val="18"/>
          <w:szCs w:val="18"/>
          <w:color w:val="auto"/>
        </w:rPr>
      </w:pPr>
    </w:p>
    <w:p>
      <w:pPr>
        <w:jc w:val="both"/>
        <w:ind w:left="503" w:right="100" w:hanging="503"/>
        <w:spacing w:after="0" w:line="263"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75" w:lineRule="exact"/>
        <w:rPr>
          <w:rFonts w:ascii="Arial" w:cs="Arial" w:eastAsia="Arial" w:hAnsi="Arial"/>
          <w:sz w:val="18"/>
          <w:szCs w:val="18"/>
          <w:color w:val="auto"/>
        </w:rPr>
      </w:pPr>
    </w:p>
    <w:p>
      <w:pPr>
        <w:ind w:left="503" w:right="26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product candidates, including NKX101 and NKX019, could be subject to regulatory limitations following approval, if and when such approval is granted.</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market price for our common stock may be volatile, which could contribute to the loss of all or part of your investment.</w:t>
      </w:r>
    </w:p>
    <w:p>
      <w:pPr>
        <w:spacing w:after="0" w:line="117" w:lineRule="exact"/>
        <w:rPr>
          <w:rFonts w:ascii="Arial" w:cs="Arial" w:eastAsia="Arial" w:hAnsi="Arial"/>
          <w:sz w:val="18"/>
          <w:szCs w:val="18"/>
          <w:color w:val="auto"/>
        </w:rPr>
      </w:pPr>
    </w:p>
    <w:p>
      <w:pPr>
        <w:ind w:left="503" w:right="10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125"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(Unaudited,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29,117</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37,494</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251,636</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314,649</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286,736</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360,688</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18,728</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2,743</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76,094</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61,908</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41,071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45,749</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3,666</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429,038</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472,938</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Operating lease liabilities, current portion</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6,050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4,249</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17,553</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26,613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22,046</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84,447</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78,685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111,060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100,731</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7)</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700,609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690,814</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(601 )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(679 )</w:t>
            </w: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(382,035 )</w:t>
            </w:r>
          </w:p>
        </w:tc>
        <w:tc>
          <w:tcPr>
            <w:tcW w:w="24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(317,933 )</w:t>
            </w:r>
          </w:p>
        </w:tc>
      </w:tr>
      <w:tr>
        <w:trPr>
          <w:trHeight w:val="23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317,978</w:t>
            </w:r>
          </w:p>
        </w:tc>
        <w:tc>
          <w:tcPr>
            <w:tcW w:w="3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372,207</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429,038</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472,938</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-3651250</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-3651250</wp:posOffset>
            </wp:positionV>
            <wp:extent cx="857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-2716530</wp:posOffset>
            </wp:positionV>
            <wp:extent cx="857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-2716530</wp:posOffset>
            </wp:positionV>
            <wp:extent cx="8572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-1757045</wp:posOffset>
            </wp:positionV>
            <wp:extent cx="8572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-1757045</wp:posOffset>
            </wp:positionV>
            <wp:extent cx="8572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-1439545</wp:posOffset>
            </wp:positionV>
            <wp:extent cx="8572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-1439545</wp:posOffset>
            </wp:positionV>
            <wp:extent cx="8572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74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6"/>
          </w:tcPr>
          <w:p>
            <w:pPr>
              <w:jc w:val="right"/>
              <w:ind w:right="81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25,122</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21,049</w:t>
            </w:r>
          </w:p>
        </w:tc>
        <w:tc>
          <w:tcPr>
            <w:tcW w:w="120" w:type="dxa"/>
            <w:vAlign w:val="bottom"/>
          </w:tcPr>
          <w:p>
            <w:pPr>
              <w:spacing w:after="0"/>
              <w:rPr>
                <w:sz w:val="20"/>
                <w:szCs w:val="20"/>
                <w:color w:val="auto"/>
              </w:rPr>
            </w:pP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51,257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40,617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19,914</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13,093</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36,858</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71,171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(36,858</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(27,612</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(71,171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net</w:t>
            </w: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3,571</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7,069</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(33,287 )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xml:space="preserve">(26,923 </w:t>
            </w:r>
            <w:r>
              <w:rPr>
                <w:rFonts w:ascii="Arial" w:cs="Arial" w:eastAsia="Arial" w:hAnsi="Arial"/>
                <w:sz w:val="18"/>
                <w:szCs w:val="18"/>
                <w:color w:val="auto"/>
                <w:highlight w:val="white"/>
              </w:rPr>
              <w:t>)</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(64,102 )</w:t>
            </w: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(52,910 )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0"/>
              <w:spacing w:after="0"/>
              <w:rPr>
                <w:sz w:val="20"/>
                <w:szCs w:val="20"/>
                <w:color w:val="auto"/>
              </w:rPr>
            </w:pPr>
            <w:r>
              <w:rPr>
                <w:rFonts w:ascii="Arial" w:cs="Arial" w:eastAsia="Arial" w:hAnsi="Arial"/>
                <w:sz w:val="18"/>
                <w:szCs w:val="18"/>
                <w:color w:val="auto"/>
              </w:rPr>
              <w:t>Net unrealized gain (loss) on investments</w:t>
            </w:r>
          </w:p>
        </w:tc>
        <w:tc>
          <w:tcPr>
            <w:tcW w:w="240" w:type="dxa"/>
            <w:vAlign w:val="bottom"/>
          </w:tcPr>
          <w:p>
            <w:pPr>
              <w:spacing w:after="0"/>
              <w:rPr>
                <w:sz w:val="20"/>
                <w:szCs w:val="20"/>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(427 )</w:t>
            </w: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(325 )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(781 )</w:t>
            </w:r>
          </w:p>
        </w:tc>
        <w:tc>
          <w:tcPr>
            <w:tcW w:w="0" w:type="dxa"/>
            <w:vAlign w:val="bottom"/>
          </w:tcPr>
          <w:p>
            <w:pPr>
              <w:spacing w:after="0"/>
              <w:rPr>
                <w:sz w:val="1"/>
                <w:szCs w:val="1"/>
                <w:color w:val="auto"/>
              </w:rPr>
            </w:pPr>
          </w:p>
        </w:tc>
      </w:tr>
      <w:tr>
        <w:trPr>
          <w:trHeight w:val="277"/>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(33,714</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(27,248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(0.68 )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xml:space="preserve">(0.61 </w:t>
            </w:r>
            <w:r>
              <w:rPr>
                <w:rFonts w:ascii="Arial" w:cs="Arial" w:eastAsia="Arial" w:hAnsi="Arial"/>
                <w:sz w:val="18"/>
                <w:szCs w:val="18"/>
                <w:color w:val="auto"/>
                <w:highlight w:val="white"/>
              </w:rPr>
              <w:t>)</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(1.31 )</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Weighted average shares used to compute net loss</w:t>
            </w:r>
          </w:p>
        </w:tc>
        <w:tc>
          <w:tcPr>
            <w:tcW w:w="24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48,970,391</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43,841,392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48,946,018</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38,446,956</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per share, basic and diluted</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-2108200</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-2108200</wp:posOffset>
            </wp:positionV>
            <wp:extent cx="7747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-2108200</wp:posOffset>
            </wp:positionV>
            <wp:extent cx="857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-2108200</wp:posOffset>
            </wp:positionV>
            <wp:extent cx="857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-1156970</wp:posOffset>
            </wp:positionV>
            <wp:extent cx="8572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-1156970</wp:posOffset>
            </wp:positionV>
            <wp:extent cx="85725"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-1156970</wp:posOffset>
            </wp:positionV>
            <wp:extent cx="8572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-496570</wp:posOffset>
            </wp:positionV>
            <wp:extent cx="292354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23540" cy="20574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-24765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357"/>
              <w:spacing w:after="0"/>
              <w:rPr>
                <w:sz w:val="20"/>
                <w:szCs w:val="20"/>
                <w:color w:val="auto"/>
              </w:rPr>
            </w:pPr>
            <w:r>
              <w:rPr>
                <w:rFonts w:ascii="Arial" w:cs="Arial" w:eastAsia="Arial" w:hAnsi="Arial"/>
                <w:sz w:val="11"/>
                <w:szCs w:val="11"/>
                <w:b w:val="1"/>
                <w:bCs w:val="1"/>
                <w:color w:val="auto"/>
                <w:w w:val="86"/>
              </w:rPr>
              <w:t>Accumulated</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2360" w:type="dxa"/>
            <w:vAlign w:val="bottom"/>
            <w:gridSpan w:val="3"/>
            <w:vMerge w:val="restart"/>
          </w:tcPr>
          <w:p>
            <w:pPr>
              <w:jc w:val="right"/>
              <w:ind w:right="639"/>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ind w:right="278"/>
              <w:spacing w:after="0" w:line="122" w:lineRule="exact"/>
              <w:rPr>
                <w:sz w:val="20"/>
                <w:szCs w:val="20"/>
                <w:color w:val="auto"/>
              </w:rPr>
            </w:pPr>
            <w:r>
              <w:rPr>
                <w:rFonts w:ascii="Arial" w:cs="Arial" w:eastAsia="Arial" w:hAnsi="Arial"/>
                <w:sz w:val="11"/>
                <w:szCs w:val="11"/>
                <w:b w:val="1"/>
                <w:bCs w:val="1"/>
                <w:color w:val="auto"/>
              </w:rPr>
              <w:t>Additional</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357"/>
              <w:spacing w:after="0" w:line="122" w:lineRule="exact"/>
              <w:rPr>
                <w:sz w:val="20"/>
                <w:szCs w:val="20"/>
                <w:color w:val="auto"/>
              </w:rPr>
            </w:pPr>
            <w:r>
              <w:rPr>
                <w:rFonts w:ascii="Arial" w:cs="Arial" w:eastAsia="Arial" w:hAnsi="Arial"/>
                <w:sz w:val="11"/>
                <w:szCs w:val="11"/>
                <w:b w:val="1"/>
                <w:bCs w:val="1"/>
                <w:color w:val="auto"/>
                <w:w w:val="95"/>
              </w:rPr>
              <w:t>Other</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236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358"/>
              <w:spacing w:after="0"/>
              <w:rPr>
                <w:sz w:val="20"/>
                <w:szCs w:val="20"/>
                <w:color w:val="auto"/>
              </w:rPr>
            </w:pPr>
            <w:r>
              <w:rPr>
                <w:rFonts w:ascii="Arial" w:cs="Arial" w:eastAsia="Arial" w:hAnsi="Arial"/>
                <w:sz w:val="11"/>
                <w:szCs w:val="11"/>
                <w:b w:val="1"/>
                <w:bCs w:val="1"/>
                <w:color w:val="auto"/>
              </w:rPr>
              <w:t>Paid-in</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357"/>
              <w:spacing w:after="0"/>
              <w:rPr>
                <w:sz w:val="20"/>
                <w:szCs w:val="20"/>
                <w:color w:val="auto"/>
              </w:rPr>
            </w:pPr>
            <w:r>
              <w:rPr>
                <w:rFonts w:ascii="Arial" w:cs="Arial" w:eastAsia="Arial" w:hAnsi="Arial"/>
                <w:sz w:val="11"/>
                <w:szCs w:val="11"/>
                <w:b w:val="1"/>
                <w:bCs w:val="1"/>
                <w:color w:val="auto"/>
                <w:w w:val="87"/>
              </w:rPr>
              <w:t>Comprehensive</w:t>
            </w:r>
          </w:p>
        </w:tc>
        <w:tc>
          <w:tcPr>
            <w:tcW w:w="180" w:type="dxa"/>
            <w:vAlign w:val="bottom"/>
          </w:tcPr>
          <w:p>
            <w:pPr>
              <w:spacing w:after="0"/>
              <w:rPr>
                <w:sz w:val="11"/>
                <w:szCs w:val="11"/>
                <w:color w:val="auto"/>
              </w:rPr>
            </w:pPr>
          </w:p>
        </w:tc>
        <w:tc>
          <w:tcPr>
            <w:tcW w:w="1260" w:type="dxa"/>
            <w:vAlign w:val="bottom"/>
            <w:gridSpan w:val="2"/>
          </w:tcPr>
          <w:p>
            <w:pPr>
              <w:jc w:val="right"/>
              <w:ind w:right="518"/>
              <w:spacing w:after="0"/>
              <w:rPr>
                <w:sz w:val="20"/>
                <w:szCs w:val="20"/>
                <w:color w:val="auto"/>
              </w:rPr>
            </w:pPr>
            <w:r>
              <w:rPr>
                <w:rFonts w:ascii="Arial" w:cs="Arial" w:eastAsia="Arial" w:hAnsi="Arial"/>
                <w:sz w:val="11"/>
                <w:szCs w:val="11"/>
                <w:b w:val="1"/>
                <w:bCs w:val="1"/>
                <w:color w:val="auto"/>
                <w:w w:val="98"/>
              </w:rPr>
              <w:t>Accumulated</w:t>
            </w:r>
          </w:p>
        </w:tc>
        <w:tc>
          <w:tcPr>
            <w:tcW w:w="160" w:type="dxa"/>
            <w:vAlign w:val="bottom"/>
          </w:tcPr>
          <w:p>
            <w:pPr>
              <w:spacing w:after="0"/>
              <w:rPr>
                <w:sz w:val="11"/>
                <w:szCs w:val="11"/>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38"/>
        </w:trPr>
        <w:tc>
          <w:tcPr>
            <w:tcW w:w="2740" w:type="dxa"/>
            <w:vAlign w:val="bottom"/>
          </w:tcPr>
          <w:p>
            <w:pPr>
              <w:spacing w:after="0"/>
              <w:rPr>
                <w:sz w:val="11"/>
                <w:szCs w:val="11"/>
                <w:color w:val="auto"/>
              </w:rPr>
            </w:pPr>
          </w:p>
        </w:tc>
        <w:tc>
          <w:tcPr>
            <w:tcW w:w="1180" w:type="dxa"/>
            <w:vAlign w:val="bottom"/>
          </w:tcPr>
          <w:p>
            <w:pPr>
              <w:jc w:val="right"/>
              <w:ind w:right="378"/>
              <w:spacing w:after="0"/>
              <w:rPr>
                <w:sz w:val="20"/>
                <w:szCs w:val="20"/>
                <w:color w:val="auto"/>
              </w:rPr>
            </w:pPr>
            <w:r>
              <w:rPr>
                <w:rFonts w:ascii="Arial" w:cs="Arial" w:eastAsia="Arial" w:hAnsi="Arial"/>
                <w:sz w:val="11"/>
                <w:szCs w:val="11"/>
                <w:b w:val="1"/>
                <w:bCs w:val="1"/>
                <w:color w:val="auto"/>
              </w:rPr>
              <w:t>Shares</w:t>
            </w:r>
          </w:p>
        </w:tc>
        <w:tc>
          <w:tcPr>
            <w:tcW w:w="280" w:type="dxa"/>
            <w:vAlign w:val="bottom"/>
          </w:tcPr>
          <w:p>
            <w:pPr>
              <w:spacing w:after="0"/>
              <w:rPr>
                <w:sz w:val="11"/>
                <w:szCs w:val="11"/>
                <w:color w:val="auto"/>
              </w:rPr>
            </w:pPr>
          </w:p>
        </w:tc>
        <w:tc>
          <w:tcPr>
            <w:tcW w:w="900" w:type="dxa"/>
            <w:vAlign w:val="bottom"/>
          </w:tcPr>
          <w:p>
            <w:pPr>
              <w:jc w:val="right"/>
              <w:ind w:right="59"/>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338"/>
              <w:spacing w:after="0"/>
              <w:rPr>
                <w:sz w:val="20"/>
                <w:szCs w:val="20"/>
                <w:color w:val="auto"/>
              </w:rPr>
            </w:pPr>
            <w:r>
              <w:rPr>
                <w:rFonts w:ascii="Arial" w:cs="Arial" w:eastAsia="Arial" w:hAnsi="Arial"/>
                <w:sz w:val="11"/>
                <w:szCs w:val="11"/>
                <w:b w:val="1"/>
                <w:bCs w:val="1"/>
                <w:color w:val="auto"/>
              </w:rPr>
              <w:t>Capital</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377"/>
              <w:spacing w:after="0"/>
              <w:rPr>
                <w:sz w:val="20"/>
                <w:szCs w:val="20"/>
                <w:color w:val="auto"/>
              </w:rPr>
            </w:pPr>
            <w:r>
              <w:rPr>
                <w:rFonts w:ascii="Arial" w:cs="Arial" w:eastAsia="Arial" w:hAnsi="Arial"/>
                <w:sz w:val="11"/>
                <w:szCs w:val="11"/>
                <w:b w:val="1"/>
                <w:bCs w:val="1"/>
                <w:color w:val="auto"/>
                <w:w w:val="89"/>
              </w:rPr>
              <w:t>Gain/(Loss)</w:t>
            </w:r>
          </w:p>
        </w:tc>
        <w:tc>
          <w:tcPr>
            <w:tcW w:w="180" w:type="dxa"/>
            <w:vAlign w:val="bottom"/>
          </w:tcPr>
          <w:p>
            <w:pPr>
              <w:spacing w:after="0"/>
              <w:rPr>
                <w:sz w:val="11"/>
                <w:szCs w:val="11"/>
                <w:color w:val="auto"/>
              </w:rPr>
            </w:pPr>
          </w:p>
        </w:tc>
        <w:tc>
          <w:tcPr>
            <w:tcW w:w="1260" w:type="dxa"/>
            <w:vAlign w:val="bottom"/>
            <w:gridSpan w:val="2"/>
          </w:tcPr>
          <w:p>
            <w:pPr>
              <w:jc w:val="right"/>
              <w:ind w:right="678"/>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1"/>
                <w:szCs w:val="11"/>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60"/>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December 31, 2022</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48,877,806</w:t>
            </w:r>
          </w:p>
        </w:tc>
        <w:tc>
          <w:tcPr>
            <w:tcW w:w="28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30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690,814</w:t>
            </w:r>
          </w:p>
        </w:tc>
        <w:tc>
          <w:tcPr>
            <w:tcW w:w="2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(679</w:t>
            </w:r>
          </w:p>
        </w:tc>
        <w:tc>
          <w:tcPr>
            <w:tcW w:w="30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(317,933</w:t>
            </w:r>
          </w:p>
        </w:tc>
        <w:tc>
          <w:tcPr>
            <w:tcW w:w="280" w:type="dxa"/>
            <w:vAlign w:val="bottom"/>
            <w:shd w:val="clear" w:color="auto" w:fill="CFF0FC"/>
          </w:tcPr>
          <w:p>
            <w:pPr>
              <w:jc w:val="right"/>
              <w:ind w:right="19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372,207</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740" w:type="dxa"/>
            <w:vAlign w:val="bottom"/>
          </w:tcPr>
          <w:p>
            <w:pPr>
              <w:ind w:left="20"/>
              <w:spacing w:after="0" w:line="134" w:lineRule="exact"/>
              <w:rPr>
                <w:sz w:val="20"/>
                <w:szCs w:val="20"/>
                <w:color w:val="auto"/>
              </w:rPr>
            </w:pPr>
            <w:r>
              <w:rPr>
                <w:rFonts w:ascii="Arial" w:cs="Arial" w:eastAsia="Arial" w:hAnsi="Arial"/>
                <w:sz w:val="13"/>
                <w:szCs w:val="13"/>
                <w:color w:val="auto"/>
              </w:rPr>
              <w:t>Vesting of shares of common</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120"/>
              <w:spacing w:after="0"/>
              <w:rPr>
                <w:sz w:val="20"/>
                <w:szCs w:val="20"/>
                <w:color w:val="auto"/>
              </w:rPr>
            </w:pPr>
            <w:r>
              <w:rPr>
                <w:rFonts w:ascii="Arial" w:cs="Arial" w:eastAsia="Arial" w:hAnsi="Arial"/>
                <w:sz w:val="13"/>
                <w:szCs w:val="13"/>
                <w:color w:val="auto"/>
              </w:rPr>
              <w:t>stock subject to repurchase</w:t>
            </w:r>
          </w:p>
        </w:tc>
        <w:tc>
          <w:tcPr>
            <w:tcW w:w="1180" w:type="dxa"/>
            <w:vAlign w:val="bottom"/>
          </w:tcPr>
          <w:p>
            <w:pPr>
              <w:jc w:val="right"/>
              <w:spacing w:after="0"/>
              <w:rPr>
                <w:sz w:val="20"/>
                <w:szCs w:val="20"/>
                <w:color w:val="auto"/>
              </w:rPr>
            </w:pPr>
            <w:r>
              <w:rPr>
                <w:rFonts w:ascii="Arial" w:cs="Arial" w:eastAsia="Arial" w:hAnsi="Arial"/>
                <w:sz w:val="13"/>
                <w:szCs w:val="13"/>
                <w:color w:val="auto"/>
              </w:rPr>
              <w:t>395</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Issuance of common stock</w:t>
            </w: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upon exercise of stock</w:t>
            </w: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253</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40" w:type="dxa"/>
            <w:vAlign w:val="bottom"/>
          </w:tcPr>
          <w:p>
            <w:pPr>
              <w:ind w:left="20"/>
              <w:spacing w:after="0" w:line="134" w:lineRule="exact"/>
              <w:rPr>
                <w:sz w:val="20"/>
                <w:szCs w:val="20"/>
                <w:color w:val="auto"/>
              </w:rPr>
            </w:pPr>
            <w:r>
              <w:rPr>
                <w:rFonts w:ascii="Arial" w:cs="Arial" w:eastAsia="Arial" w:hAnsi="Arial"/>
                <w:sz w:val="13"/>
                <w:szCs w:val="13"/>
                <w:color w:val="auto"/>
              </w:rPr>
              <w:t>Issuance of common stock</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120"/>
              <w:spacing w:after="0"/>
              <w:rPr>
                <w:sz w:val="20"/>
                <w:szCs w:val="20"/>
                <w:color w:val="auto"/>
              </w:rPr>
            </w:pPr>
            <w:r>
              <w:rPr>
                <w:rFonts w:ascii="Arial" w:cs="Arial" w:eastAsia="Arial" w:hAnsi="Arial"/>
                <w:sz w:val="13"/>
                <w:szCs w:val="13"/>
                <w:color w:val="auto"/>
              </w:rPr>
              <w:t>upon vesting of restricted stock units</w:t>
            </w:r>
          </w:p>
        </w:tc>
        <w:tc>
          <w:tcPr>
            <w:tcW w:w="1180" w:type="dxa"/>
            <w:vAlign w:val="bottom"/>
          </w:tcPr>
          <w:p>
            <w:pPr>
              <w:jc w:val="right"/>
              <w:spacing w:after="0"/>
              <w:rPr>
                <w:sz w:val="20"/>
                <w:szCs w:val="20"/>
                <w:color w:val="auto"/>
              </w:rPr>
            </w:pPr>
            <w:r>
              <w:rPr>
                <w:rFonts w:ascii="Arial" w:cs="Arial" w:eastAsia="Arial" w:hAnsi="Arial"/>
                <w:sz w:val="13"/>
                <w:szCs w:val="13"/>
                <w:color w:val="auto"/>
              </w:rPr>
              <w:t>50,469</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74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Share-based compensation</w:t>
            </w: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expense</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4,746</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40" w:type="dxa"/>
            <w:vAlign w:val="bottom"/>
          </w:tcPr>
          <w:p>
            <w:pPr>
              <w:ind w:left="20"/>
              <w:spacing w:after="0" w:line="134" w:lineRule="exact"/>
              <w:rPr>
                <w:sz w:val="20"/>
                <w:szCs w:val="20"/>
                <w:color w:val="auto"/>
              </w:rPr>
            </w:pPr>
            <w:r>
              <w:rPr>
                <w:rFonts w:ascii="Arial" w:cs="Arial" w:eastAsia="Arial" w:hAnsi="Arial"/>
                <w:sz w:val="13"/>
                <w:szCs w:val="13"/>
                <w:color w:val="auto"/>
              </w:rPr>
              <w:t>Unrealized gain on</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120"/>
              <w:spacing w:after="0"/>
              <w:rPr>
                <w:sz w:val="20"/>
                <w:szCs w:val="20"/>
                <w:color w:val="auto"/>
              </w:rPr>
            </w:pPr>
            <w:r>
              <w:rPr>
                <w:rFonts w:ascii="Arial" w:cs="Arial" w:eastAsia="Arial" w:hAnsi="Arial"/>
                <w:sz w:val="13"/>
                <w:szCs w:val="13"/>
                <w:color w:val="auto"/>
              </w:rPr>
              <w:t>investments</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505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(30,815 )</w:t>
            </w: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(30,815 )</w:t>
            </w: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40" w:type="dxa"/>
            <w:vAlign w:val="bottom"/>
          </w:tcPr>
          <w:p>
            <w:pPr>
              <w:ind w:left="20"/>
              <w:spacing w:after="0" w:line="142" w:lineRule="exact"/>
              <w:rPr>
                <w:sz w:val="20"/>
                <w:szCs w:val="20"/>
                <w:color w:val="auto"/>
              </w:rPr>
            </w:pPr>
            <w:r>
              <w:rPr>
                <w:rFonts w:ascii="Arial" w:cs="Arial" w:eastAsia="Arial" w:hAnsi="Arial"/>
                <w:sz w:val="13"/>
                <w:szCs w:val="13"/>
                <w:color w:val="auto"/>
              </w:rPr>
              <w:t>Balance, March 31, 2023</w:t>
            </w:r>
          </w:p>
        </w:tc>
        <w:tc>
          <w:tcPr>
            <w:tcW w:w="1180" w:type="dxa"/>
            <w:vAlign w:val="bottom"/>
          </w:tcPr>
          <w:p>
            <w:pPr>
              <w:jc w:val="right"/>
              <w:spacing w:after="0"/>
              <w:rPr>
                <w:sz w:val="20"/>
                <w:szCs w:val="20"/>
                <w:color w:val="auto"/>
              </w:rPr>
            </w:pPr>
            <w:r>
              <w:rPr>
                <w:rFonts w:ascii="Arial" w:cs="Arial" w:eastAsia="Arial" w:hAnsi="Arial"/>
                <w:sz w:val="13"/>
                <w:szCs w:val="13"/>
                <w:color w:val="auto"/>
              </w:rPr>
              <w:t>48,928,923</w:t>
            </w:r>
          </w:p>
        </w:tc>
        <w:tc>
          <w:tcPr>
            <w:tcW w:w="280" w:type="dxa"/>
            <w:vAlign w:val="bottom"/>
          </w:tcPr>
          <w:p>
            <w:pPr>
              <w:spacing w:after="0"/>
              <w:rPr>
                <w:sz w:val="13"/>
                <w:szCs w:val="13"/>
                <w:color w:val="auto"/>
              </w:rPr>
            </w:pPr>
          </w:p>
        </w:tc>
        <w:tc>
          <w:tcPr>
            <w:tcW w:w="900" w:type="dxa"/>
            <w:vAlign w:val="bottom"/>
          </w:tcPr>
          <w:p>
            <w:pPr>
              <w:jc w:val="right"/>
              <w:ind w:right="759"/>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5</w:t>
            </w:r>
          </w:p>
        </w:tc>
        <w:tc>
          <w:tcPr>
            <w:tcW w:w="48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695,563</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77"/>
              <w:spacing w:after="0"/>
              <w:rPr>
                <w:sz w:val="20"/>
                <w:szCs w:val="20"/>
                <w:color w:val="auto"/>
              </w:rPr>
            </w:pPr>
            <w:r>
              <w:rPr>
                <w:rFonts w:ascii="Arial" w:cs="Arial" w:eastAsia="Arial" w:hAnsi="Arial"/>
                <w:sz w:val="13"/>
                <w:szCs w:val="13"/>
                <w:color w:val="auto"/>
              </w:rPr>
              <w:t>(174 )</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198"/>
              <w:spacing w:after="0"/>
              <w:rPr>
                <w:sz w:val="20"/>
                <w:szCs w:val="20"/>
                <w:color w:val="auto"/>
              </w:rPr>
            </w:pPr>
            <w:r>
              <w:rPr>
                <w:rFonts w:ascii="Arial" w:cs="Arial" w:eastAsia="Arial" w:hAnsi="Arial"/>
                <w:sz w:val="13"/>
                <w:szCs w:val="13"/>
                <w:color w:val="auto"/>
              </w:rPr>
              <w:t>(348,748 )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346,646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740" w:type="dxa"/>
            <w:vAlign w:val="bottom"/>
            <w:shd w:val="clear" w:color="auto" w:fill="CFF0FC"/>
          </w:tcPr>
          <w:p>
            <w:pPr>
              <w:ind w:left="20"/>
              <w:spacing w:after="0" w:line="115" w:lineRule="exact"/>
              <w:rPr>
                <w:sz w:val="20"/>
                <w:szCs w:val="20"/>
                <w:color w:val="auto"/>
              </w:rPr>
            </w:pPr>
            <w:r>
              <w:rPr>
                <w:rFonts w:ascii="Arial" w:cs="Arial" w:eastAsia="Arial" w:hAnsi="Arial"/>
                <w:sz w:val="13"/>
                <w:szCs w:val="13"/>
                <w:color w:val="auto"/>
              </w:rPr>
              <w:t>Vesting of shares of common</w:t>
            </w:r>
          </w:p>
        </w:tc>
        <w:tc>
          <w:tcPr>
            <w:tcW w:w="11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subject to repurchase</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40" w:type="dxa"/>
            <w:vAlign w:val="bottom"/>
          </w:tcPr>
          <w:p>
            <w:pPr>
              <w:ind w:left="20"/>
              <w:spacing w:after="0" w:line="134" w:lineRule="exact"/>
              <w:rPr>
                <w:sz w:val="20"/>
                <w:szCs w:val="20"/>
                <w:color w:val="auto"/>
              </w:rPr>
            </w:pPr>
            <w:r>
              <w:rPr>
                <w:rFonts w:ascii="Arial" w:cs="Arial" w:eastAsia="Arial" w:hAnsi="Arial"/>
                <w:sz w:val="13"/>
                <w:szCs w:val="13"/>
                <w:color w:val="auto"/>
              </w:rPr>
              <w:t>Issuance of common stock</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upon exercise of stock</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120"/>
              <w:spacing w:after="0"/>
              <w:rPr>
                <w:sz w:val="20"/>
                <w:szCs w:val="20"/>
                <w:color w:val="auto"/>
              </w:rPr>
            </w:pPr>
            <w:r>
              <w:rPr>
                <w:rFonts w:ascii="Arial" w:cs="Arial" w:eastAsia="Arial" w:hAnsi="Arial"/>
                <w:sz w:val="13"/>
                <w:szCs w:val="13"/>
                <w:color w:val="auto"/>
              </w:rPr>
              <w:t>options</w:t>
            </w:r>
          </w:p>
        </w:tc>
        <w:tc>
          <w:tcPr>
            <w:tcW w:w="1180" w:type="dxa"/>
            <w:vAlign w:val="bottom"/>
          </w:tcPr>
          <w:p>
            <w:pPr>
              <w:jc w:val="right"/>
              <w:spacing w:after="0"/>
              <w:rPr>
                <w:sz w:val="20"/>
                <w:szCs w:val="20"/>
                <w:color w:val="auto"/>
              </w:rPr>
            </w:pPr>
            <w:r>
              <w:rPr>
                <w:rFonts w:ascii="Arial" w:cs="Arial" w:eastAsia="Arial" w:hAnsi="Arial"/>
                <w:sz w:val="13"/>
                <w:szCs w:val="13"/>
                <w:color w:val="auto"/>
              </w:rPr>
              <w:t>5,892</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Issuance of common stock</w:t>
            </w: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upon vesting of restricted stock units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28,074</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740" w:type="dxa"/>
            <w:vAlign w:val="bottom"/>
          </w:tcPr>
          <w:p>
            <w:pPr>
              <w:ind w:left="20"/>
              <w:spacing w:after="0" w:line="134" w:lineRule="exact"/>
              <w:rPr>
                <w:sz w:val="20"/>
                <w:szCs w:val="20"/>
                <w:color w:val="auto"/>
              </w:rPr>
            </w:pPr>
            <w:r>
              <w:rPr>
                <w:rFonts w:ascii="Arial" w:cs="Arial" w:eastAsia="Arial" w:hAnsi="Arial"/>
                <w:sz w:val="13"/>
                <w:szCs w:val="13"/>
                <w:color w:val="auto"/>
              </w:rPr>
              <w:t>Common stock issued under</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120"/>
              <w:spacing w:after="0"/>
              <w:rPr>
                <w:sz w:val="20"/>
                <w:szCs w:val="20"/>
                <w:color w:val="auto"/>
              </w:rPr>
            </w:pPr>
            <w:r>
              <w:rPr>
                <w:rFonts w:ascii="Arial" w:cs="Arial" w:eastAsia="Arial" w:hAnsi="Arial"/>
                <w:sz w:val="13"/>
                <w:szCs w:val="13"/>
                <w:color w:val="auto"/>
              </w:rPr>
              <w:t>employee stock purchase plan</w:t>
            </w:r>
          </w:p>
        </w:tc>
        <w:tc>
          <w:tcPr>
            <w:tcW w:w="1180" w:type="dxa"/>
            <w:vAlign w:val="bottom"/>
          </w:tcPr>
          <w:p>
            <w:pPr>
              <w:jc w:val="right"/>
              <w:spacing w:after="0"/>
              <w:rPr>
                <w:sz w:val="20"/>
                <w:szCs w:val="20"/>
                <w:color w:val="auto"/>
              </w:rPr>
            </w:pPr>
            <w:r>
              <w:rPr>
                <w:rFonts w:ascii="Arial" w:cs="Arial" w:eastAsia="Arial" w:hAnsi="Arial"/>
                <w:sz w:val="13"/>
                <w:szCs w:val="13"/>
                <w:color w:val="auto"/>
              </w:rPr>
              <w:t>95,232</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Share-based compensation</w:t>
            </w: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expense</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4,650</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4,650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40" w:type="dxa"/>
            <w:vAlign w:val="bottom"/>
          </w:tcPr>
          <w:p>
            <w:pPr>
              <w:ind w:left="20"/>
              <w:spacing w:after="0" w:line="134" w:lineRule="exact"/>
              <w:rPr>
                <w:sz w:val="20"/>
                <w:szCs w:val="20"/>
                <w:color w:val="auto"/>
              </w:rPr>
            </w:pPr>
            <w:r>
              <w:rPr>
                <w:rFonts w:ascii="Arial" w:cs="Arial" w:eastAsia="Arial" w:hAnsi="Arial"/>
                <w:sz w:val="13"/>
                <w:szCs w:val="13"/>
                <w:color w:val="auto"/>
              </w:rPr>
              <w:t>Unrealized loss on</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120"/>
              <w:spacing w:after="0"/>
              <w:rPr>
                <w:sz w:val="20"/>
                <w:szCs w:val="20"/>
                <w:color w:val="auto"/>
              </w:rPr>
            </w:pPr>
            <w:r>
              <w:rPr>
                <w:rFonts w:ascii="Arial" w:cs="Arial" w:eastAsia="Arial" w:hAnsi="Arial"/>
                <w:sz w:val="13"/>
                <w:szCs w:val="13"/>
                <w:color w:val="auto"/>
              </w:rPr>
              <w:t>investments</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77"/>
              <w:spacing w:after="0"/>
              <w:rPr>
                <w:sz w:val="20"/>
                <w:szCs w:val="20"/>
                <w:color w:val="auto"/>
              </w:rPr>
            </w:pPr>
            <w:r>
              <w:rPr>
                <w:rFonts w:ascii="Arial" w:cs="Arial" w:eastAsia="Arial" w:hAnsi="Arial"/>
                <w:sz w:val="13"/>
                <w:szCs w:val="13"/>
                <w:color w:val="auto"/>
              </w:rPr>
              <w:t>(427 )</w:t>
            </w:r>
          </w:p>
        </w:tc>
        <w:tc>
          <w:tcPr>
            <w:tcW w:w="180" w:type="dxa"/>
            <w:vAlign w:val="bottom"/>
          </w:tcPr>
          <w:p>
            <w:pPr>
              <w:spacing w:after="0"/>
              <w:rPr>
                <w:sz w:val="14"/>
                <w:szCs w:val="14"/>
                <w:color w:val="auto"/>
              </w:rPr>
            </w:pPr>
          </w:p>
        </w:tc>
        <w:tc>
          <w:tcPr>
            <w:tcW w:w="1260" w:type="dxa"/>
            <w:vAlign w:val="bottom"/>
            <w:gridSpan w:val="2"/>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(427 )</w:t>
            </w: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(33,287 )</w:t>
            </w: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(33,287 )</w:t>
            </w: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40" w:type="dxa"/>
            <w:vAlign w:val="bottom"/>
          </w:tcPr>
          <w:p>
            <w:pPr>
              <w:ind w:left="20"/>
              <w:spacing w:after="0" w:line="142" w:lineRule="exact"/>
              <w:rPr>
                <w:sz w:val="20"/>
                <w:szCs w:val="20"/>
                <w:color w:val="auto"/>
              </w:rPr>
            </w:pPr>
            <w:r>
              <w:rPr>
                <w:rFonts w:ascii="Arial" w:cs="Arial" w:eastAsia="Arial" w:hAnsi="Arial"/>
                <w:sz w:val="13"/>
                <w:szCs w:val="13"/>
                <w:color w:val="auto"/>
              </w:rPr>
              <w:t>Balance, June 30, 2023</w:t>
            </w:r>
          </w:p>
        </w:tc>
        <w:tc>
          <w:tcPr>
            <w:tcW w:w="1180" w:type="dxa"/>
            <w:vAlign w:val="bottom"/>
          </w:tcPr>
          <w:p>
            <w:pPr>
              <w:jc w:val="right"/>
              <w:spacing w:after="0"/>
              <w:rPr>
                <w:sz w:val="20"/>
                <w:szCs w:val="20"/>
                <w:color w:val="auto"/>
              </w:rPr>
            </w:pPr>
            <w:r>
              <w:rPr>
                <w:rFonts w:ascii="Arial" w:cs="Arial" w:eastAsia="Arial" w:hAnsi="Arial"/>
                <w:sz w:val="13"/>
                <w:szCs w:val="13"/>
                <w:color w:val="auto"/>
              </w:rPr>
              <w:t>49,058,234</w:t>
            </w:r>
          </w:p>
        </w:tc>
        <w:tc>
          <w:tcPr>
            <w:tcW w:w="280" w:type="dxa"/>
            <w:vAlign w:val="bottom"/>
          </w:tcPr>
          <w:p>
            <w:pPr>
              <w:spacing w:after="0"/>
              <w:rPr>
                <w:sz w:val="13"/>
                <w:szCs w:val="13"/>
                <w:color w:val="auto"/>
              </w:rPr>
            </w:pPr>
          </w:p>
        </w:tc>
        <w:tc>
          <w:tcPr>
            <w:tcW w:w="900" w:type="dxa"/>
            <w:vAlign w:val="bottom"/>
          </w:tcPr>
          <w:p>
            <w:pPr>
              <w:jc w:val="right"/>
              <w:ind w:right="759"/>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5</w:t>
            </w:r>
          </w:p>
        </w:tc>
        <w:tc>
          <w:tcPr>
            <w:tcW w:w="48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700,609</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77"/>
              <w:spacing w:after="0"/>
              <w:rPr>
                <w:sz w:val="20"/>
                <w:szCs w:val="20"/>
                <w:color w:val="auto"/>
              </w:rPr>
            </w:pPr>
            <w:r>
              <w:rPr>
                <w:rFonts w:ascii="Arial" w:cs="Arial" w:eastAsia="Arial" w:hAnsi="Arial"/>
                <w:sz w:val="13"/>
                <w:szCs w:val="13"/>
                <w:color w:val="auto"/>
              </w:rPr>
              <w:t>(601 )</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198"/>
              <w:spacing w:after="0"/>
              <w:rPr>
                <w:sz w:val="20"/>
                <w:szCs w:val="20"/>
                <w:color w:val="auto"/>
              </w:rPr>
            </w:pPr>
            <w:r>
              <w:rPr>
                <w:rFonts w:ascii="Arial" w:cs="Arial" w:eastAsia="Arial" w:hAnsi="Arial"/>
                <w:sz w:val="13"/>
                <w:szCs w:val="13"/>
                <w:color w:val="auto"/>
              </w:rPr>
              <w:t>(382,035 )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317,978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-1593850</wp:posOffset>
            </wp:positionV>
            <wp:extent cx="8572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-1593850</wp:posOffset>
            </wp:positionV>
            <wp:extent cx="8572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-1593850</wp:posOffset>
            </wp:positionV>
            <wp:extent cx="7683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-1593850</wp:posOffset>
            </wp:positionV>
            <wp:extent cx="8572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-1593850</wp:posOffset>
            </wp:positionV>
            <wp:extent cx="7683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-1593850</wp:posOffset>
            </wp:positionV>
            <wp:extent cx="8572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-136525</wp:posOffset>
            </wp:positionV>
            <wp:extent cx="8572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-136525</wp:posOffset>
            </wp:positionV>
            <wp:extent cx="8572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-136525</wp:posOffset>
            </wp:positionV>
            <wp:extent cx="7683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-136525</wp:posOffset>
            </wp:positionV>
            <wp:extent cx="8572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-136525</wp:posOffset>
            </wp:positionV>
            <wp:extent cx="7683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-136525</wp:posOffset>
            </wp:positionV>
            <wp:extent cx="8572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3716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357"/>
              <w:spacing w:after="0"/>
              <w:rPr>
                <w:sz w:val="20"/>
                <w:szCs w:val="20"/>
                <w:color w:val="auto"/>
              </w:rPr>
            </w:pPr>
            <w:r>
              <w:rPr>
                <w:rFonts w:ascii="Arial" w:cs="Arial" w:eastAsia="Arial" w:hAnsi="Arial"/>
                <w:sz w:val="11"/>
                <w:szCs w:val="11"/>
                <w:b w:val="1"/>
                <w:bCs w:val="1"/>
                <w:color w:val="auto"/>
                <w:w w:val="86"/>
              </w:rPr>
              <w:t>Accumulated</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2360" w:type="dxa"/>
            <w:vAlign w:val="bottom"/>
            <w:gridSpan w:val="3"/>
            <w:vMerge w:val="restart"/>
          </w:tcPr>
          <w:p>
            <w:pPr>
              <w:jc w:val="right"/>
              <w:ind w:right="639"/>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ind w:right="279"/>
              <w:spacing w:after="0" w:line="122" w:lineRule="exact"/>
              <w:rPr>
                <w:sz w:val="20"/>
                <w:szCs w:val="20"/>
                <w:color w:val="auto"/>
              </w:rPr>
            </w:pPr>
            <w:r>
              <w:rPr>
                <w:rFonts w:ascii="Arial" w:cs="Arial" w:eastAsia="Arial" w:hAnsi="Arial"/>
                <w:sz w:val="11"/>
                <w:szCs w:val="11"/>
                <w:b w:val="1"/>
                <w:bCs w:val="1"/>
                <w:color w:val="auto"/>
              </w:rPr>
              <w:t>Additional</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357"/>
              <w:spacing w:after="0" w:line="122" w:lineRule="exact"/>
              <w:rPr>
                <w:sz w:val="20"/>
                <w:szCs w:val="20"/>
                <w:color w:val="auto"/>
              </w:rPr>
            </w:pPr>
            <w:r>
              <w:rPr>
                <w:rFonts w:ascii="Arial" w:cs="Arial" w:eastAsia="Arial" w:hAnsi="Arial"/>
                <w:sz w:val="11"/>
                <w:szCs w:val="11"/>
                <w:b w:val="1"/>
                <w:bCs w:val="1"/>
                <w:color w:val="auto"/>
                <w:w w:val="95"/>
              </w:rPr>
              <w:t>Other</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236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359"/>
              <w:spacing w:after="0"/>
              <w:rPr>
                <w:sz w:val="20"/>
                <w:szCs w:val="20"/>
                <w:color w:val="auto"/>
              </w:rPr>
            </w:pPr>
            <w:r>
              <w:rPr>
                <w:rFonts w:ascii="Arial" w:cs="Arial" w:eastAsia="Arial" w:hAnsi="Arial"/>
                <w:sz w:val="11"/>
                <w:szCs w:val="11"/>
                <w:b w:val="1"/>
                <w:bCs w:val="1"/>
                <w:color w:val="auto"/>
              </w:rPr>
              <w:t>Paid-in</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357"/>
              <w:spacing w:after="0"/>
              <w:rPr>
                <w:sz w:val="20"/>
                <w:szCs w:val="20"/>
                <w:color w:val="auto"/>
              </w:rPr>
            </w:pPr>
            <w:r>
              <w:rPr>
                <w:rFonts w:ascii="Arial" w:cs="Arial" w:eastAsia="Arial" w:hAnsi="Arial"/>
                <w:sz w:val="11"/>
                <w:szCs w:val="11"/>
                <w:b w:val="1"/>
                <w:bCs w:val="1"/>
                <w:color w:val="auto"/>
                <w:w w:val="87"/>
              </w:rPr>
              <w:t>Comprehensive</w:t>
            </w:r>
          </w:p>
        </w:tc>
        <w:tc>
          <w:tcPr>
            <w:tcW w:w="180" w:type="dxa"/>
            <w:vAlign w:val="bottom"/>
          </w:tcPr>
          <w:p>
            <w:pPr>
              <w:spacing w:after="0"/>
              <w:rPr>
                <w:sz w:val="11"/>
                <w:szCs w:val="11"/>
                <w:color w:val="auto"/>
              </w:rPr>
            </w:pPr>
          </w:p>
        </w:tc>
        <w:tc>
          <w:tcPr>
            <w:tcW w:w="1260" w:type="dxa"/>
            <w:vAlign w:val="bottom"/>
            <w:gridSpan w:val="2"/>
          </w:tcPr>
          <w:p>
            <w:pPr>
              <w:jc w:val="right"/>
              <w:ind w:right="518"/>
              <w:spacing w:after="0"/>
              <w:rPr>
                <w:sz w:val="20"/>
                <w:szCs w:val="20"/>
                <w:color w:val="auto"/>
              </w:rPr>
            </w:pPr>
            <w:r>
              <w:rPr>
                <w:rFonts w:ascii="Arial" w:cs="Arial" w:eastAsia="Arial" w:hAnsi="Arial"/>
                <w:sz w:val="11"/>
                <w:szCs w:val="11"/>
                <w:b w:val="1"/>
                <w:bCs w:val="1"/>
                <w:color w:val="auto"/>
                <w:w w:val="98"/>
              </w:rPr>
              <w:t>Accumulated</w:t>
            </w:r>
          </w:p>
        </w:tc>
        <w:tc>
          <w:tcPr>
            <w:tcW w:w="160" w:type="dxa"/>
            <w:vAlign w:val="bottom"/>
          </w:tcPr>
          <w:p>
            <w:pPr>
              <w:spacing w:after="0"/>
              <w:rPr>
                <w:sz w:val="11"/>
                <w:szCs w:val="11"/>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38"/>
        </w:trPr>
        <w:tc>
          <w:tcPr>
            <w:tcW w:w="2740" w:type="dxa"/>
            <w:vAlign w:val="bottom"/>
          </w:tcPr>
          <w:p>
            <w:pPr>
              <w:spacing w:after="0"/>
              <w:rPr>
                <w:sz w:val="11"/>
                <w:szCs w:val="11"/>
                <w:color w:val="auto"/>
              </w:rPr>
            </w:pPr>
          </w:p>
        </w:tc>
        <w:tc>
          <w:tcPr>
            <w:tcW w:w="1180" w:type="dxa"/>
            <w:vAlign w:val="bottom"/>
          </w:tcPr>
          <w:p>
            <w:pPr>
              <w:jc w:val="right"/>
              <w:ind w:right="378"/>
              <w:spacing w:after="0"/>
              <w:rPr>
                <w:sz w:val="20"/>
                <w:szCs w:val="20"/>
                <w:color w:val="auto"/>
              </w:rPr>
            </w:pPr>
            <w:r>
              <w:rPr>
                <w:rFonts w:ascii="Arial" w:cs="Arial" w:eastAsia="Arial" w:hAnsi="Arial"/>
                <w:sz w:val="11"/>
                <w:szCs w:val="11"/>
                <w:b w:val="1"/>
                <w:bCs w:val="1"/>
                <w:color w:val="auto"/>
              </w:rPr>
              <w:t>Shares</w:t>
            </w:r>
          </w:p>
        </w:tc>
        <w:tc>
          <w:tcPr>
            <w:tcW w:w="280" w:type="dxa"/>
            <w:vAlign w:val="bottom"/>
          </w:tcPr>
          <w:p>
            <w:pPr>
              <w:spacing w:after="0"/>
              <w:rPr>
                <w:sz w:val="11"/>
                <w:szCs w:val="11"/>
                <w:color w:val="auto"/>
              </w:rPr>
            </w:pPr>
          </w:p>
        </w:tc>
        <w:tc>
          <w:tcPr>
            <w:tcW w:w="900" w:type="dxa"/>
            <w:vAlign w:val="bottom"/>
          </w:tcPr>
          <w:p>
            <w:pPr>
              <w:jc w:val="right"/>
              <w:ind w:right="59"/>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339"/>
              <w:spacing w:after="0"/>
              <w:rPr>
                <w:sz w:val="20"/>
                <w:szCs w:val="20"/>
                <w:color w:val="auto"/>
              </w:rPr>
            </w:pPr>
            <w:r>
              <w:rPr>
                <w:rFonts w:ascii="Arial" w:cs="Arial" w:eastAsia="Arial" w:hAnsi="Arial"/>
                <w:sz w:val="11"/>
                <w:szCs w:val="11"/>
                <w:b w:val="1"/>
                <w:bCs w:val="1"/>
                <w:color w:val="auto"/>
              </w:rPr>
              <w:t>Capital</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377"/>
              <w:spacing w:after="0"/>
              <w:rPr>
                <w:sz w:val="20"/>
                <w:szCs w:val="20"/>
                <w:color w:val="auto"/>
              </w:rPr>
            </w:pPr>
            <w:r>
              <w:rPr>
                <w:rFonts w:ascii="Arial" w:cs="Arial" w:eastAsia="Arial" w:hAnsi="Arial"/>
                <w:sz w:val="11"/>
                <w:szCs w:val="11"/>
                <w:b w:val="1"/>
                <w:bCs w:val="1"/>
                <w:color w:val="auto"/>
                <w:w w:val="89"/>
              </w:rPr>
              <w:t>Gain/(Loss)</w:t>
            </w:r>
          </w:p>
        </w:tc>
        <w:tc>
          <w:tcPr>
            <w:tcW w:w="180" w:type="dxa"/>
            <w:vAlign w:val="bottom"/>
          </w:tcPr>
          <w:p>
            <w:pPr>
              <w:spacing w:after="0"/>
              <w:rPr>
                <w:sz w:val="11"/>
                <w:szCs w:val="11"/>
                <w:color w:val="auto"/>
              </w:rPr>
            </w:pPr>
          </w:p>
        </w:tc>
        <w:tc>
          <w:tcPr>
            <w:tcW w:w="1260" w:type="dxa"/>
            <w:vAlign w:val="bottom"/>
            <w:gridSpan w:val="2"/>
          </w:tcPr>
          <w:p>
            <w:pPr>
              <w:jc w:val="right"/>
              <w:ind w:right="678"/>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1"/>
                <w:szCs w:val="11"/>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60"/>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December 31, 2021</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32,971,107</w:t>
            </w:r>
          </w:p>
        </w:tc>
        <w:tc>
          <w:tcPr>
            <w:tcW w:w="28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30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455,210</w:t>
            </w:r>
          </w:p>
        </w:tc>
        <w:tc>
          <w:tcPr>
            <w:tcW w:w="2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(150</w:t>
            </w:r>
          </w:p>
        </w:tc>
        <w:tc>
          <w:tcPr>
            <w:tcW w:w="30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(204,096</w:t>
            </w:r>
          </w:p>
        </w:tc>
        <w:tc>
          <w:tcPr>
            <w:tcW w:w="280" w:type="dxa"/>
            <w:vAlign w:val="bottom"/>
            <w:shd w:val="clear" w:color="auto" w:fill="CFF0FC"/>
          </w:tcPr>
          <w:p>
            <w:pPr>
              <w:jc w:val="right"/>
              <w:ind w:right="19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250,967</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740" w:type="dxa"/>
            <w:vAlign w:val="bottom"/>
          </w:tcPr>
          <w:p>
            <w:pPr>
              <w:ind w:left="20"/>
              <w:spacing w:after="0" w:line="134" w:lineRule="exact"/>
              <w:rPr>
                <w:sz w:val="20"/>
                <w:szCs w:val="20"/>
                <w:color w:val="auto"/>
              </w:rPr>
            </w:pPr>
            <w:r>
              <w:rPr>
                <w:rFonts w:ascii="Arial" w:cs="Arial" w:eastAsia="Arial" w:hAnsi="Arial"/>
                <w:sz w:val="13"/>
                <w:szCs w:val="13"/>
                <w:color w:val="auto"/>
              </w:rPr>
              <w:t>Vesting of shares of common</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120"/>
              <w:spacing w:after="0"/>
              <w:rPr>
                <w:sz w:val="20"/>
                <w:szCs w:val="20"/>
                <w:color w:val="auto"/>
              </w:rPr>
            </w:pPr>
            <w:r>
              <w:rPr>
                <w:rFonts w:ascii="Arial" w:cs="Arial" w:eastAsia="Arial" w:hAnsi="Arial"/>
                <w:sz w:val="13"/>
                <w:szCs w:val="13"/>
                <w:color w:val="auto"/>
              </w:rPr>
              <w:t>stock subject to repurchase</w:t>
            </w:r>
          </w:p>
        </w:tc>
        <w:tc>
          <w:tcPr>
            <w:tcW w:w="1180" w:type="dxa"/>
            <w:vAlign w:val="bottom"/>
          </w:tcPr>
          <w:p>
            <w:pPr>
              <w:jc w:val="right"/>
              <w:spacing w:after="0"/>
              <w:rPr>
                <w:sz w:val="20"/>
                <w:szCs w:val="20"/>
                <w:color w:val="auto"/>
              </w:rPr>
            </w:pPr>
            <w:r>
              <w:rPr>
                <w:rFonts w:ascii="Arial" w:cs="Arial" w:eastAsia="Arial" w:hAnsi="Arial"/>
                <w:sz w:val="13"/>
                <w:szCs w:val="13"/>
                <w:color w:val="auto"/>
              </w:rPr>
              <w:t>10,924</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Issuance of common stock</w:t>
            </w: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upon exercise of stock</w:t>
            </w: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21,067</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40" w:type="dxa"/>
            <w:vAlign w:val="bottom"/>
          </w:tcPr>
          <w:p>
            <w:pPr>
              <w:ind w:left="20"/>
              <w:spacing w:after="0" w:line="134" w:lineRule="exact"/>
              <w:rPr>
                <w:sz w:val="20"/>
                <w:szCs w:val="20"/>
                <w:color w:val="auto"/>
              </w:rPr>
            </w:pPr>
            <w:r>
              <w:rPr>
                <w:rFonts w:ascii="Arial" w:cs="Arial" w:eastAsia="Arial" w:hAnsi="Arial"/>
                <w:sz w:val="13"/>
                <w:szCs w:val="13"/>
                <w:color w:val="auto"/>
              </w:rPr>
              <w:t>Share-based compensation</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120"/>
              <w:spacing w:after="0"/>
              <w:rPr>
                <w:sz w:val="20"/>
                <w:szCs w:val="20"/>
                <w:color w:val="auto"/>
              </w:rPr>
            </w:pPr>
            <w:r>
              <w:rPr>
                <w:rFonts w:ascii="Arial" w:cs="Arial" w:eastAsia="Arial" w:hAnsi="Arial"/>
                <w:sz w:val="13"/>
                <w:szCs w:val="13"/>
                <w:color w:val="auto"/>
              </w:rPr>
              <w:t>expense</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4,097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4,097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Unrealized loss on</w:t>
            </w: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short-term investments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(456 )</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(456 )</w:t>
            </w: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198"/>
              <w:spacing w:after="0"/>
              <w:rPr>
                <w:sz w:val="20"/>
                <w:szCs w:val="20"/>
                <w:color w:val="auto"/>
              </w:rPr>
            </w:pPr>
            <w:r>
              <w:rPr>
                <w:rFonts w:ascii="Arial" w:cs="Arial" w:eastAsia="Arial" w:hAnsi="Arial"/>
                <w:sz w:val="13"/>
                <w:szCs w:val="13"/>
                <w:color w:val="auto"/>
              </w:rPr>
              <w:t>(25,987 )</w:t>
            </w:r>
          </w:p>
        </w:tc>
        <w:tc>
          <w:tcPr>
            <w:tcW w:w="1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(25,987 )</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 March 31, 2022</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33,003,098</w:t>
            </w:r>
          </w:p>
        </w:tc>
        <w:tc>
          <w:tcPr>
            <w:tcW w:w="2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459,392</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(606</w:t>
            </w:r>
          </w:p>
        </w:tc>
        <w:tc>
          <w:tcPr>
            <w:tcW w:w="300" w:type="dxa"/>
            <w:vAlign w:val="bottom"/>
            <w:tcBorders>
              <w:bottom w:val="single" w:sz="8" w:color="CFF0FC"/>
            </w:tcBorders>
            <w:shd w:val="clear" w:color="auto" w:fill="CFF0FC"/>
          </w:tcPr>
          <w:p>
            <w:pPr>
              <w:jc w:val="right"/>
              <w:ind w:right="177"/>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(230,083</w:t>
            </w:r>
          </w:p>
        </w:tc>
        <w:tc>
          <w:tcPr>
            <w:tcW w:w="280" w:type="dxa"/>
            <w:vAlign w:val="bottom"/>
            <w:tcBorders>
              <w:bottom w:val="single" w:sz="8" w:color="CFF0FC"/>
            </w:tcBorders>
            <w:shd w:val="clear" w:color="auto" w:fill="CFF0FC"/>
          </w:tcPr>
          <w:p>
            <w:pPr>
              <w:jc w:val="right"/>
              <w:ind w:right="19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228,706</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740" w:type="dxa"/>
            <w:vAlign w:val="bottom"/>
          </w:tcPr>
          <w:p>
            <w:pPr>
              <w:ind w:left="20"/>
              <w:spacing w:after="0" w:line="115" w:lineRule="exact"/>
              <w:rPr>
                <w:sz w:val="20"/>
                <w:szCs w:val="20"/>
                <w:color w:val="auto"/>
              </w:rPr>
            </w:pPr>
            <w:r>
              <w:rPr>
                <w:rFonts w:ascii="Arial" w:cs="Arial" w:eastAsia="Arial" w:hAnsi="Arial"/>
                <w:sz w:val="13"/>
                <w:szCs w:val="13"/>
                <w:color w:val="auto"/>
              </w:rPr>
              <w:t>Vesting of shares of common</w:t>
            </w: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120"/>
              <w:spacing w:after="0"/>
              <w:rPr>
                <w:sz w:val="20"/>
                <w:szCs w:val="20"/>
                <w:color w:val="auto"/>
              </w:rPr>
            </w:pPr>
            <w:r>
              <w:rPr>
                <w:rFonts w:ascii="Arial" w:cs="Arial" w:eastAsia="Arial" w:hAnsi="Arial"/>
                <w:sz w:val="13"/>
                <w:szCs w:val="13"/>
                <w:color w:val="auto"/>
              </w:rPr>
              <w:t>stock subject to repurchase</w:t>
            </w:r>
          </w:p>
        </w:tc>
        <w:tc>
          <w:tcPr>
            <w:tcW w:w="1180" w:type="dxa"/>
            <w:vAlign w:val="bottom"/>
          </w:tcPr>
          <w:p>
            <w:pPr>
              <w:jc w:val="right"/>
              <w:spacing w:after="0"/>
              <w:rPr>
                <w:sz w:val="20"/>
                <w:szCs w:val="20"/>
                <w:color w:val="auto"/>
              </w:rPr>
            </w:pPr>
            <w:r>
              <w:rPr>
                <w:rFonts w:ascii="Arial" w:cs="Arial" w:eastAsia="Arial" w:hAnsi="Arial"/>
                <w:sz w:val="13"/>
                <w:szCs w:val="13"/>
                <w:color w:val="auto"/>
              </w:rPr>
              <w:t>2,387</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Issuance of common stock</w:t>
            </w: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upon exercise of stock</w:t>
            </w: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options, net of repurchase</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88,383</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40" w:type="dxa"/>
            <w:vAlign w:val="bottom"/>
          </w:tcPr>
          <w:p>
            <w:pPr>
              <w:ind w:left="20"/>
              <w:spacing w:after="0" w:line="134" w:lineRule="exact"/>
              <w:rPr>
                <w:sz w:val="20"/>
                <w:szCs w:val="20"/>
                <w:color w:val="auto"/>
              </w:rPr>
            </w:pPr>
            <w:r>
              <w:rPr>
                <w:rFonts w:ascii="Arial" w:cs="Arial" w:eastAsia="Arial" w:hAnsi="Arial"/>
                <w:sz w:val="13"/>
                <w:szCs w:val="13"/>
                <w:color w:val="auto"/>
              </w:rPr>
              <w:t>Issuance of common stock</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upon secondary offering, net</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120"/>
              <w:spacing w:after="0"/>
              <w:rPr>
                <w:sz w:val="20"/>
                <w:szCs w:val="20"/>
                <w:color w:val="auto"/>
              </w:rPr>
            </w:pPr>
            <w:r>
              <w:rPr>
                <w:rFonts w:ascii="Arial" w:cs="Arial" w:eastAsia="Arial" w:hAnsi="Arial"/>
                <w:sz w:val="13"/>
                <w:szCs w:val="13"/>
                <w:color w:val="auto"/>
              </w:rPr>
              <w:t>of issuance costs</w:t>
            </w:r>
          </w:p>
        </w:tc>
        <w:tc>
          <w:tcPr>
            <w:tcW w:w="1180" w:type="dxa"/>
            <w:vAlign w:val="bottom"/>
          </w:tcPr>
          <w:p>
            <w:pPr>
              <w:jc w:val="right"/>
              <w:spacing w:after="0"/>
              <w:rPr>
                <w:sz w:val="20"/>
                <w:szCs w:val="20"/>
                <w:color w:val="auto"/>
              </w:rPr>
            </w:pPr>
            <w:r>
              <w:rPr>
                <w:rFonts w:ascii="Arial" w:cs="Arial" w:eastAsia="Arial" w:hAnsi="Arial"/>
                <w:sz w:val="13"/>
                <w:szCs w:val="13"/>
                <w:color w:val="auto"/>
              </w:rPr>
              <w:t>15,333,334</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215,332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215,334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Share-based compensation</w:t>
            </w: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expense</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3,912</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3,912</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40" w:type="dxa"/>
            <w:vAlign w:val="bottom"/>
          </w:tcPr>
          <w:p>
            <w:pPr>
              <w:ind w:left="20"/>
              <w:spacing w:after="0" w:line="134" w:lineRule="exact"/>
              <w:rPr>
                <w:sz w:val="20"/>
                <w:szCs w:val="20"/>
                <w:color w:val="auto"/>
              </w:rPr>
            </w:pPr>
            <w:r>
              <w:rPr>
                <w:rFonts w:ascii="Arial" w:cs="Arial" w:eastAsia="Arial" w:hAnsi="Arial"/>
                <w:sz w:val="13"/>
                <w:szCs w:val="13"/>
                <w:color w:val="auto"/>
              </w:rPr>
              <w:t>Unrealized loss on short-term</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120"/>
              <w:spacing w:after="0"/>
              <w:rPr>
                <w:sz w:val="20"/>
                <w:szCs w:val="20"/>
                <w:color w:val="auto"/>
              </w:rPr>
            </w:pPr>
            <w:r>
              <w:rPr>
                <w:rFonts w:ascii="Arial" w:cs="Arial" w:eastAsia="Arial" w:hAnsi="Arial"/>
                <w:sz w:val="13"/>
                <w:szCs w:val="13"/>
                <w:color w:val="auto"/>
              </w:rPr>
              <w:t>investments</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77"/>
              <w:spacing w:after="0"/>
              <w:rPr>
                <w:sz w:val="20"/>
                <w:szCs w:val="20"/>
                <w:color w:val="auto"/>
              </w:rPr>
            </w:pPr>
            <w:r>
              <w:rPr>
                <w:rFonts w:ascii="Arial" w:cs="Arial" w:eastAsia="Arial" w:hAnsi="Arial"/>
                <w:sz w:val="13"/>
                <w:szCs w:val="13"/>
                <w:color w:val="auto"/>
              </w:rPr>
              <w:t>(325 )</w:t>
            </w:r>
          </w:p>
        </w:tc>
        <w:tc>
          <w:tcPr>
            <w:tcW w:w="180" w:type="dxa"/>
            <w:vAlign w:val="bottom"/>
          </w:tcPr>
          <w:p>
            <w:pPr>
              <w:spacing w:after="0"/>
              <w:rPr>
                <w:sz w:val="14"/>
                <w:szCs w:val="14"/>
                <w:color w:val="auto"/>
              </w:rPr>
            </w:pPr>
          </w:p>
        </w:tc>
        <w:tc>
          <w:tcPr>
            <w:tcW w:w="1260" w:type="dxa"/>
            <w:vAlign w:val="bottom"/>
            <w:gridSpan w:val="2"/>
          </w:tcPr>
          <w:p>
            <w:pPr>
              <w:jc w:val="right"/>
              <w:ind w:right="2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(325 )</w:t>
            </w: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(26,923 )</w:t>
            </w: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(26,923 )</w:t>
            </w: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40" w:type="dxa"/>
            <w:vAlign w:val="bottom"/>
          </w:tcPr>
          <w:p>
            <w:pPr>
              <w:ind w:left="20"/>
              <w:spacing w:after="0" w:line="142" w:lineRule="exact"/>
              <w:rPr>
                <w:sz w:val="20"/>
                <w:szCs w:val="20"/>
                <w:color w:val="auto"/>
              </w:rPr>
            </w:pPr>
            <w:r>
              <w:rPr>
                <w:rFonts w:ascii="Arial" w:cs="Arial" w:eastAsia="Arial" w:hAnsi="Arial"/>
                <w:sz w:val="13"/>
                <w:szCs w:val="13"/>
                <w:color w:val="auto"/>
              </w:rPr>
              <w:t>Balance, June 30, 2022</w:t>
            </w:r>
          </w:p>
        </w:tc>
        <w:tc>
          <w:tcPr>
            <w:tcW w:w="1180" w:type="dxa"/>
            <w:vAlign w:val="bottom"/>
          </w:tcPr>
          <w:p>
            <w:pPr>
              <w:jc w:val="right"/>
              <w:spacing w:after="0"/>
              <w:rPr>
                <w:sz w:val="20"/>
                <w:szCs w:val="20"/>
                <w:color w:val="auto"/>
              </w:rPr>
            </w:pPr>
            <w:r>
              <w:rPr>
                <w:rFonts w:ascii="Arial" w:cs="Arial" w:eastAsia="Arial" w:hAnsi="Arial"/>
                <w:sz w:val="13"/>
                <w:szCs w:val="13"/>
                <w:color w:val="auto"/>
              </w:rPr>
              <w:t>48,427,202</w:t>
            </w:r>
          </w:p>
        </w:tc>
        <w:tc>
          <w:tcPr>
            <w:tcW w:w="280" w:type="dxa"/>
            <w:vAlign w:val="bottom"/>
          </w:tcPr>
          <w:p>
            <w:pPr>
              <w:spacing w:after="0"/>
              <w:rPr>
                <w:sz w:val="13"/>
                <w:szCs w:val="13"/>
                <w:color w:val="auto"/>
              </w:rPr>
            </w:pPr>
          </w:p>
        </w:tc>
        <w:tc>
          <w:tcPr>
            <w:tcW w:w="900" w:type="dxa"/>
            <w:vAlign w:val="bottom"/>
          </w:tcPr>
          <w:p>
            <w:pPr>
              <w:jc w:val="right"/>
              <w:ind w:right="759"/>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5</w:t>
            </w:r>
          </w:p>
        </w:tc>
        <w:tc>
          <w:tcPr>
            <w:tcW w:w="48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678,973</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77"/>
              <w:spacing w:after="0"/>
              <w:rPr>
                <w:sz w:val="20"/>
                <w:szCs w:val="20"/>
                <w:color w:val="auto"/>
              </w:rPr>
            </w:pPr>
            <w:r>
              <w:rPr>
                <w:rFonts w:ascii="Arial" w:cs="Arial" w:eastAsia="Arial" w:hAnsi="Arial"/>
                <w:sz w:val="13"/>
                <w:szCs w:val="13"/>
                <w:color w:val="auto"/>
              </w:rPr>
              <w:t>(931 )</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198"/>
              <w:spacing w:after="0"/>
              <w:rPr>
                <w:sz w:val="20"/>
                <w:szCs w:val="20"/>
                <w:color w:val="auto"/>
              </w:rPr>
            </w:pPr>
            <w:r>
              <w:rPr>
                <w:rFonts w:ascii="Arial" w:cs="Arial" w:eastAsia="Arial" w:hAnsi="Arial"/>
                <w:sz w:val="13"/>
                <w:szCs w:val="13"/>
                <w:color w:val="auto"/>
              </w:rPr>
              <w:t>(257,006 )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421,041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-1379220</wp:posOffset>
            </wp:positionV>
            <wp:extent cx="4646295"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46295" cy="21463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-136525</wp:posOffset>
            </wp:positionV>
            <wp:extent cx="8572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-136525</wp:posOffset>
            </wp:positionV>
            <wp:extent cx="8572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-136525</wp:posOffset>
            </wp:positionV>
            <wp:extent cx="7683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-136525</wp:posOffset>
            </wp:positionV>
            <wp:extent cx="8572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-136525</wp:posOffset>
            </wp:positionV>
            <wp:extent cx="7683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-136525</wp:posOffset>
            </wp:positionV>
            <wp:extent cx="8572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3716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43"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(64,102 )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(52,910 )</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9,396</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8,009</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Accretion and amortization of premiums and discounts on investments, net</w:t>
            </w:r>
          </w:p>
        </w:tc>
        <w:tc>
          <w:tcPr>
            <w:tcW w:w="380" w:type="dxa"/>
            <w:vAlign w:val="bottom"/>
          </w:tcPr>
          <w:p>
            <w:pPr>
              <w:spacing w:after="0"/>
              <w:rPr>
                <w:sz w:val="20"/>
                <w:szCs w:val="20"/>
                <w:color w:val="auto"/>
              </w:rPr>
            </w:pP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(4,511 )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1,110</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Realized gain on investments</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(34 )</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Impairment of right-of-use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4,100</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lease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7,143</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3,649</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 and accrued and other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(1,274 )</w:t>
            </w:r>
          </w:p>
        </w:tc>
      </w:tr>
      <w:tr>
        <w:trPr>
          <w:trHeight w:val="20"/>
        </w:trPr>
        <w:tc>
          <w:tcPr>
            <w:tcW w:w="76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20"/>
                <w:szCs w:val="20"/>
                <w:color w:val="auto"/>
              </w:rPr>
            </w:pP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(42,531 )</w:t>
            </w: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(34,872 )</w:t>
            </w: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20"/>
                <w:szCs w:val="20"/>
                <w:color w:val="auto"/>
              </w:rPr>
            </w:pP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(15,151 )</w:t>
            </w: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(4,399 )</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investments</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(157,486 )</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(175,011 )</w:t>
            </w: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Maturities of investments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206,395</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69,088</w:t>
            </w:r>
          </w:p>
        </w:tc>
        <w:tc>
          <w:tcPr>
            <w:tcW w:w="140" w:type="dxa"/>
            <w:vAlign w:val="bottom"/>
          </w:tcPr>
          <w:p>
            <w:pPr>
              <w:spacing w:after="0"/>
              <w:rPr>
                <w:sz w:val="21"/>
                <w:szCs w:val="21"/>
                <w:color w:val="auto"/>
              </w:rPr>
            </w:pPr>
          </w:p>
        </w:tc>
      </w:tr>
      <w:tr>
        <w:trPr>
          <w:trHeight w:val="23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33,758</w:t>
            </w:r>
          </w:p>
        </w:tc>
        <w:tc>
          <w:tcPr>
            <w:tcW w:w="3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(110,322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2"/>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stock option exercises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Proceeds from ESPP purchases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secondary offering, net of issuance costs</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215,611</w:t>
            </w:r>
          </w:p>
        </w:tc>
        <w:tc>
          <w:tcPr>
            <w:tcW w:w="140" w:type="dxa"/>
            <w:vAlign w:val="bottom"/>
            <w:shd w:val="clear" w:color="auto" w:fill="CFF0FC"/>
          </w:tcPr>
          <w:p>
            <w:pPr>
              <w:spacing w:after="0"/>
              <w:rPr>
                <w:sz w:val="21"/>
                <w:szCs w:val="21"/>
                <w:color w:val="auto"/>
              </w:rPr>
            </w:pPr>
          </w:p>
        </w:tc>
      </w:tr>
      <w:tr>
        <w:trPr>
          <w:trHeight w:val="236"/>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3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216,024</w:t>
            </w:r>
          </w:p>
        </w:tc>
        <w:tc>
          <w:tcPr>
            <w:tcW w:w="140" w:type="dxa"/>
            <w:vAlign w:val="bottom"/>
            <w:tcBorders>
              <w:top w:val="single" w:sz="8" w:color="CFF0FC"/>
            </w:tcBorders>
          </w:tcPr>
          <w:p>
            <w:pPr>
              <w:spacing w:after="0"/>
              <w:rPr>
                <w:sz w:val="20"/>
                <w:szCs w:val="20"/>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(8,377</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70,830</w:t>
            </w:r>
          </w:p>
        </w:tc>
        <w:tc>
          <w:tcPr>
            <w:tcW w:w="140" w:type="dxa"/>
            <w:vAlign w:val="bottom"/>
            <w:shd w:val="clear" w:color="auto" w:fill="CFF0FC"/>
          </w:tcPr>
          <w:p>
            <w:pPr>
              <w:spacing w:after="0"/>
              <w:rPr>
                <w:sz w:val="20"/>
                <w:szCs w:val="20"/>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40,237</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62,914</w:t>
            </w:r>
          </w:p>
        </w:tc>
        <w:tc>
          <w:tcPr>
            <w:tcW w:w="140" w:type="dxa"/>
            <w:vAlign w:val="bottom"/>
          </w:tcPr>
          <w:p>
            <w:pPr>
              <w:spacing w:after="0"/>
              <w:rPr>
                <w:sz w:val="21"/>
                <w:szCs w:val="21"/>
                <w:color w:val="auto"/>
              </w:rPr>
            </w:pPr>
          </w:p>
        </w:tc>
      </w:tr>
      <w:tr>
        <w:trPr>
          <w:trHeight w:val="27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31,860</w:t>
            </w:r>
          </w:p>
        </w:tc>
        <w:tc>
          <w:tcPr>
            <w:tcW w:w="3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133,744</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8"/>
                <w:szCs w:val="18"/>
                <w:color w:val="auto"/>
              </w:rPr>
              <w:t>Reconciliation of cash, cash equivalents and restricted cash to the balance sheet:</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29,117</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131,646</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40" w:type="dxa"/>
            <w:vAlign w:val="bottom"/>
          </w:tcPr>
          <w:p>
            <w:pPr>
              <w:spacing w:after="0"/>
              <w:rPr>
                <w:sz w:val="21"/>
                <w:szCs w:val="21"/>
                <w:color w:val="auto"/>
              </w:rPr>
            </w:pPr>
          </w:p>
        </w:tc>
      </w:tr>
      <w:tr>
        <w:trPr>
          <w:trHeight w:val="277"/>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31,860</w:t>
            </w:r>
          </w:p>
        </w:tc>
        <w:tc>
          <w:tcPr>
            <w:tcW w:w="3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133,744</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1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Acquisitions of property and equipment in accounts payable</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4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-3205480</wp:posOffset>
            </wp:positionV>
            <wp:extent cx="8572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-3205480</wp:posOffset>
            </wp:positionV>
            <wp:extent cx="8572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-2253615</wp:posOffset>
            </wp:positionV>
            <wp:extent cx="8572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-2253615</wp:posOffset>
            </wp:positionV>
            <wp:extent cx="8572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-1628140</wp:posOffset>
            </wp:positionV>
            <wp:extent cx="8572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-1628140</wp:posOffset>
            </wp:positionV>
            <wp:extent cx="8572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-985520</wp:posOffset>
            </wp:positionV>
            <wp:extent cx="1303020"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3020" cy="18034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-333375</wp:posOffset>
            </wp:positionV>
            <wp:extent cx="130302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03020" cy="17970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Nkarta, Inc. ("Nkarta" or the "Company") was incorporated in the State of Delaware in July 2015. The Company is a biopharmaceutical company developing engineered natural killer ("NK") cells to treat cancer. The Company is focused on leveraging the natural potent power of NK cells to identify and kill abnormal cells and recruit adaptive immune effectors to generate responses that are specific and durable. Nkarta is combining its NK expansion platform technology with proprietary cell engineering technologies to generate an abundant supply of NK cells, engineer enhanced NK cell recognition of tumor targets, and improve persistence for sustained activity in the body for the treatment of cancer. Nkarta’s goal is to develop off-the-shelf NK cell therapy product candidates to improve outcomes for patients. The Company’s operations are based in South San Francisco, California, and it operates in one segment.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 Plans</w:t>
      </w:r>
    </w:p>
    <w:p>
      <w:pPr>
        <w:spacing w:after="0" w:line="117"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The accompanying unaudited condensed financial statements have been prepared assuming that the Company will continue as a going concern. However,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June 30, 2023, the Company had an accumulated deficit of $382.0 million and cash, cash equivalents, restricted cash and investments of $302.2 million.</w:t>
      </w:r>
    </w:p>
    <w:p>
      <w:pPr>
        <w:spacing w:after="0" w:line="70"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Management plans to continue to incur substantial costs in order to conduct research and development activities for which additional capital will be needed. The Company intends to raise such capital through debt or equity financings or other arrangements to fund operations. Management believes that the Company’s current cash, cash equivalents, restricted cash and investments will provide sufficient funds to enable the Company to meet its obligations for at least twelve months from the filing date of this report.</w:t>
      </w:r>
    </w:p>
    <w:p>
      <w:pPr>
        <w:spacing w:after="0" w:line="79"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On March 17, 2023, the Company filed a Registration Statement on Form S-3, as amended by the Form S-3/A filed on April 24, 2023 (the "Shelf Registration Statement"), covering the offer and sale from time to time, pursuant to Rule 415 of the Securities Act of 1933, as amended (the "Securities Act"), of up to $350.0 million in aggregate offering price of shares of the Company’s common stock, shares of the Company’s preferred stock, debt securities, warrants, rights and/or units, including up to $120.0 million in aggregate offering price of shares of the Company’s common stock, shares of the Company’s preferred stock, debt securities, warrants, rights and/or units registered on the Company’s Registration Statement on Form S-3 declared effective by the Securities and Exchange Commission (the "SEC") on September 2, 2021 (the "Prior Registration Statement") that have not yet been sold. The Shelf Registration Statement was declared effective by the SEC on May 5, 2023.</w:t>
      </w:r>
    </w:p>
    <w:p>
      <w:pPr>
        <w:spacing w:after="0" w:line="69"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On August 12, 2021, the Company entered into a sales agreement with Cowen and Company, LLC, a sales agent, to provide for the offering, issuance and sale of up to an aggregate of $150.0 million of the Company’s common stock through an “at-the-market” equity offering program (the "ATM Offering Program") pursuant to the Prior Registration Statement and subject to the limitations thereof. For the six months ended June 30, 2023, no sales of the Company’s common stock were made pursuant to the ATM Offering Program.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accompanying unaudited condensed financial statements as of June 30, 2023 and for the three and six months ended June 30, 2023 and 2022 have been prepared in accordance with U.S. generally accepted accounting principle ("U.S. GAAP") for interim financial information and pursuant to Article 10 of Regulation S-X of the Securities Act,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for the periods presented.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509"/>
        <w:spacing w:after="0" w:line="273" w:lineRule="auto"/>
        <w:rPr>
          <w:sz w:val="20"/>
          <w:szCs w:val="20"/>
          <w:color w:val="auto"/>
        </w:rPr>
      </w:pPr>
      <w:r>
        <w:rPr>
          <w:rFonts w:ascii="Arial" w:cs="Arial" w:eastAsia="Arial" w:hAnsi="Arial"/>
          <w:sz w:val="17"/>
          <w:szCs w:val="17"/>
          <w:color w:val="auto"/>
        </w:rPr>
        <w:t>The results for the three and six months ended June 30, 2023 are not necessarily indicative of the results expected for the full year or any subsequent interim period. The condensed balance sheet at December 31, 2022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2022, contained in the Company’s Annual Report on Form 10-K for the year ended December 31, 2022 filed by the Company with the SEC on March 16,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The COVID-19 pandemic has caused disruptions in the global economy and has affected and may affect the Company’s business and operations in the future. In response to the pandemic, the Coronavirus Aid, Relief and Economic Security Act (the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The CARES Act had no impact on the Company’s income tax provision for the year ended December 31, 2022 or the six months ended June 30, 2023. The Company continues to evaluate the impact of the CARES Act on its financial position, results of operations and cash flows.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those related to preclinical studies, fair value of assets and liabilities, impairment of assets, leases,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Basic net loss per share is calculated by dividing the net loss by the weighted-average number of common shares outstanding for the period, without consideration of potential dilutive securities. Diluted net loss per share is computed by dividing the net loss by the sum of the weighted average number of common shares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unvested common stock, outstanding stock options and restricted stock units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 Impairment</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Company assesses the impairment of long-lived assets whenever events or changes in business circumstances indicate that the carrying amounts of the asset or group of assets may not be fully recoverable. In the case of property, plant and equipment and right-of-use assets for the Company's leases, the Company determines whether there has been an impairment by comparing the carrying value of the group of assets to the anticipated undiscounted net future cash flows associated with the group of assets. If such cash flows are less than the carrying value, the Company writes down the group of assets to its fair value, which may be measured as anticipated net cash flows associated with the group of assets, discounted at a rate that the Company believes a market participant would utilize to reflect the risks associated with the cash flows, such as credit risk. See Note 6 for additional information regarding the impairment charge the Company recorded in connection with its leased facilities.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Net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summarize the computation of the basic and diluted net loss per share (in thousands except share and per share data):</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Numerator:</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Denominator:</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Weighted average common shares outstanding</w:t>
      </w:r>
    </w:p>
    <w:p>
      <w:pPr>
        <w:spacing w:after="0" w:line="59" w:lineRule="exact"/>
        <w:rPr>
          <w:sz w:val="20"/>
          <w:szCs w:val="20"/>
          <w:color w:val="auto"/>
        </w:rPr>
      </w:pPr>
    </w:p>
    <w:p>
      <w:pPr>
        <w:ind w:left="340" w:right="1040" w:hanging="134"/>
        <w:spacing w:after="0" w:line="260" w:lineRule="auto"/>
        <w:rPr>
          <w:sz w:val="20"/>
          <w:szCs w:val="20"/>
          <w:color w:val="auto"/>
        </w:rPr>
      </w:pPr>
      <w:r>
        <w:rPr>
          <w:rFonts w:ascii="Arial" w:cs="Arial" w:eastAsia="Arial" w:hAnsi="Arial"/>
          <w:sz w:val="18"/>
          <w:szCs w:val="18"/>
          <w:color w:val="auto"/>
        </w:rPr>
        <w:t>Less: weighted average unvested common stock issued upon early exercise of common stock options</w:t>
      </w:r>
    </w:p>
    <w:p>
      <w:pPr>
        <w:spacing w:after="0" w:line="2" w:lineRule="exact"/>
        <w:rPr>
          <w:sz w:val="20"/>
          <w:szCs w:val="20"/>
          <w:color w:val="auto"/>
        </w:rPr>
      </w:pPr>
    </w:p>
    <w:p>
      <w:pPr>
        <w:ind w:left="160" w:right="1100" w:hanging="134"/>
        <w:spacing w:after="0" w:line="277" w:lineRule="auto"/>
        <w:rPr>
          <w:sz w:val="20"/>
          <w:szCs w:val="20"/>
          <w:color w:val="auto"/>
        </w:rPr>
      </w:pPr>
      <w:r>
        <w:rPr>
          <w:rFonts w:ascii="Arial" w:cs="Arial" w:eastAsia="Arial" w:hAnsi="Arial"/>
          <w:sz w:val="18"/>
          <w:szCs w:val="18"/>
          <w:color w:val="auto"/>
        </w:rPr>
        <w:t>Weighted average shares used to compute net loss per share, basic and diluted</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580" w:type="dxa"/>
            <w:vAlign w:val="bottom"/>
            <w:gridSpan w:val="5"/>
          </w:tcPr>
          <w:p>
            <w:pPr>
              <w:jc w:val="right"/>
              <w:ind w:right="74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jc w:val="right"/>
              <w:ind w:right="75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473"/>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(33,287 )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(26,923 )</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(64,102 )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(52,910 )</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0"/>
        </w:trPr>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48,970,457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43,844,869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48,946,131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38,452,511</w:t>
            </w:r>
          </w:p>
        </w:tc>
        <w:tc>
          <w:tcPr>
            <w:tcW w:w="80" w:type="dxa"/>
            <w:vAlign w:val="bottom"/>
          </w:tcPr>
          <w:p>
            <w:pPr>
              <w:spacing w:after="0"/>
              <w:rPr>
                <w:sz w:val="24"/>
                <w:szCs w:val="24"/>
                <w:color w:val="auto"/>
              </w:rPr>
            </w:pPr>
          </w:p>
        </w:tc>
      </w:tr>
      <w:tr>
        <w:trPr>
          <w:trHeight w:val="668"/>
        </w:trPr>
        <w:tc>
          <w:tcPr>
            <w:tcW w:w="240" w:type="dxa"/>
            <w:vAlign w:val="bottom"/>
          </w:tcPr>
          <w:p>
            <w:pPr>
              <w:spacing w:after="0"/>
              <w:rPr>
                <w:sz w:val="24"/>
                <w:szCs w:val="24"/>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(66 )</w:t>
            </w:r>
          </w:p>
        </w:tc>
        <w:tc>
          <w:tcPr>
            <w:tcW w:w="2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(3,477 )</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(113 )</w:t>
            </w:r>
          </w:p>
        </w:tc>
        <w:tc>
          <w:tcPr>
            <w:tcW w:w="2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(5,555 )</w:t>
            </w:r>
          </w:p>
        </w:tc>
      </w:tr>
      <w:tr>
        <w:trPr>
          <w:trHeight w:val="412"/>
        </w:trPr>
        <w:tc>
          <w:tcPr>
            <w:tcW w:w="2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48,970,391</w:t>
            </w:r>
          </w:p>
        </w:tc>
        <w:tc>
          <w:tcPr>
            <w:tcW w:w="30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43,841,392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48,946,018</w:t>
            </w:r>
          </w:p>
        </w:tc>
        <w:tc>
          <w:tcPr>
            <w:tcW w:w="30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38,446,956</w:t>
            </w:r>
          </w:p>
        </w:tc>
        <w:tc>
          <w:tcPr>
            <w:tcW w:w="8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-1542415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-1207770</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-899795</wp:posOffset>
            </wp:positionV>
            <wp:extent cx="7132320" cy="900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900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5800"/>
          </w:cols>
          <w:pgMar w:left="320" w:top="985" w:right="339" w:bottom="1440" w:gutter="0" w:footer="0" w:header="0"/>
          <w:type w:val="continuous"/>
        </w:sectPr>
      </w:pPr>
    </w:p>
    <w:p>
      <w:pPr>
        <w:spacing w:after="0" w:line="6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following table summarizes the outstanding potentially dilutive securities that have been excluded in the calculation of diluted net loss per share because their inclusion would be anti-dilutive: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As of June 30,</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w:t>
            </w:r>
          </w:p>
        </w:tc>
        <w:tc>
          <w:tcPr>
            <w:tcW w:w="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9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6,757,829</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5,257,754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716,956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320,278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common stock upon early exercise of common stock</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5"/>
            <w:vMerge w:val="restart"/>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2,475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options</w:t>
            </w:r>
          </w:p>
        </w:tc>
        <w:tc>
          <w:tcPr>
            <w:tcW w:w="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5"/>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tcBorders>
              <w:top w:val="single" w:sz="8" w:color="CFF0FC"/>
            </w:tcBorders>
          </w:tcPr>
          <w:p>
            <w:pPr>
              <w:spacing w:after="0"/>
              <w:rPr>
                <w:sz w:val="20"/>
                <w:szCs w:val="20"/>
                <w:color w:val="auto"/>
              </w:rPr>
            </w:pPr>
          </w:p>
        </w:tc>
        <w:tc>
          <w:tcPr>
            <w:tcW w:w="58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9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7,474,785</w:t>
            </w:r>
          </w:p>
        </w:tc>
        <w:tc>
          <w:tcPr>
            <w:tcW w:w="3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5,580,507</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4. Fair Value of Financial Instruments</w:t>
            </w: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50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20" w:type="dxa"/>
            <w:vAlign w:val="bottom"/>
            <w:gridSpan w:val="9"/>
          </w:tcPr>
          <w:p>
            <w:pPr>
              <w:ind w:left="520"/>
              <w:spacing w:after="0"/>
              <w:rPr>
                <w:sz w:val="20"/>
                <w:szCs w:val="20"/>
                <w:color w:val="auto"/>
              </w:rPr>
            </w:pPr>
            <w:r>
              <w:rPr>
                <w:rFonts w:ascii="Arial" w:cs="Arial" w:eastAsia="Arial" w:hAnsi="Arial"/>
                <w:sz w:val="18"/>
                <w:szCs w:val="18"/>
                <w:color w:val="auto"/>
                <w:w w:val="96"/>
              </w:rPr>
              <w:t>The following tables summarize the fair value of the Company’s financial instruments (in thousands):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0"/>
          </w:tcPr>
          <w:p>
            <w:pPr>
              <w:jc w:val="center"/>
              <w:ind w:left="452"/>
              <w:spacing w:after="0"/>
              <w:rPr>
                <w:sz w:val="20"/>
                <w:szCs w:val="20"/>
                <w:color w:val="auto"/>
              </w:rPr>
            </w:pPr>
            <w:r>
              <w:rPr>
                <w:rFonts w:ascii="Arial" w:cs="Arial" w:eastAsia="Arial" w:hAnsi="Arial"/>
                <w:sz w:val="14"/>
                <w:szCs w:val="14"/>
                <w:b w:val="1"/>
                <w:bCs w:val="1"/>
                <w:color w:val="auto"/>
                <w:w w:val="92"/>
              </w:rPr>
              <w:t>Fair Value Measurements Using</w:t>
            </w: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2"/>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5"/>
          </w:tcPr>
          <w:p>
            <w:pPr>
              <w:jc w:val="center"/>
              <w:ind w:right="46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1"/>
                <w:szCs w:val="11"/>
                <w:color w:val="auto"/>
              </w:rPr>
            </w:pPr>
          </w:p>
        </w:tc>
        <w:tc>
          <w:tcPr>
            <w:tcW w:w="100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102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0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00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equivalents:</w:t>
            </w: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27,893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27,893</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3"/>
          </w:tcPr>
          <w:p>
            <w:pPr>
              <w:jc w:val="right"/>
              <w:ind w:right="300"/>
              <w:spacing w:after="0"/>
              <w:rPr>
                <w:sz w:val="20"/>
                <w:szCs w:val="20"/>
                <w:color w:val="auto"/>
              </w:rPr>
            </w:pPr>
            <w:r>
              <w:rPr>
                <w:rFonts w:ascii="Arial" w:cs="Arial" w:eastAsia="Arial" w:hAnsi="Arial"/>
                <w:sz w:val="18"/>
                <w:szCs w:val="18"/>
                <w:color w:val="auto"/>
                <w:w w:val="88"/>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w:t>
            </w:r>
          </w:p>
        </w:tc>
        <w:tc>
          <w:tcPr>
            <w:tcW w:w="5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23,669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23,669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Commercial paper</w:t>
            </w: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38,530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38,530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8"/>
                <w:szCs w:val="18"/>
                <w:color w:val="auto"/>
              </w:rPr>
              <w:t>U.S. Government securities</w:t>
            </w:r>
          </w:p>
        </w:tc>
        <w:tc>
          <w:tcPr>
            <w:tcW w:w="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189,437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189,437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short-term investments</w:t>
            </w:r>
          </w:p>
        </w:tc>
        <w:tc>
          <w:tcPr>
            <w:tcW w:w="5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251,636</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251,636</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200"/>
              <w:spacing w:after="0"/>
              <w:rPr>
                <w:sz w:val="20"/>
                <w:szCs w:val="20"/>
                <w:color w:val="auto"/>
              </w:rPr>
            </w:pPr>
            <w:r>
              <w:rPr>
                <w:rFonts w:ascii="Arial" w:cs="Arial" w:eastAsia="Arial" w:hAnsi="Arial"/>
                <w:sz w:val="18"/>
                <w:szCs w:val="18"/>
                <w:color w:val="auto"/>
              </w:rPr>
              <w:t>Long-term investments: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Government securities</w:t>
            </w:r>
          </w:p>
        </w:tc>
        <w:tc>
          <w:tcPr>
            <w:tcW w:w="8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10,953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7,775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long-term investments</w:t>
            </w:r>
          </w:p>
        </w:tc>
        <w:tc>
          <w:tcPr>
            <w:tcW w:w="5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18,728</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18,728</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60" w:type="dxa"/>
            <w:vAlign w:val="bottom"/>
          </w:tcPr>
          <w:p>
            <w:pPr>
              <w:ind w:left="20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298,257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27,893</w:t>
            </w:r>
          </w:p>
        </w:tc>
        <w:tc>
          <w:tcPr>
            <w:tcW w:w="300" w:type="dxa"/>
            <w:vAlign w:val="bottom"/>
            <w:gridSpan w:val="2"/>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270,364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060" w:type="dxa"/>
            <w:vAlign w:val="bottom"/>
          </w:tcPr>
          <w:p>
            <w:pPr>
              <w:spacing w:after="0"/>
              <w:rPr>
                <w:sz w:val="24"/>
                <w:szCs w:val="24"/>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8</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-4199890</wp:posOffset>
            </wp:positionV>
            <wp:extent cx="8572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-4199890</wp:posOffset>
            </wp:positionV>
            <wp:extent cx="8572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-1319530</wp:posOffset>
            </wp:positionV>
            <wp:extent cx="85725"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-1319530</wp:posOffset>
            </wp:positionV>
            <wp:extent cx="85725"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-1319530</wp:posOffset>
            </wp:positionV>
            <wp:extent cx="8572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-1319530</wp:posOffset>
            </wp:positionV>
            <wp:extent cx="8572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-685165</wp:posOffset>
            </wp:positionV>
            <wp:extent cx="8572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-685165</wp:posOffset>
            </wp:positionV>
            <wp:extent cx="8572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-685165</wp:posOffset>
            </wp:positionV>
            <wp:extent cx="8572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-685165</wp:posOffset>
            </wp:positionV>
            <wp:extent cx="8572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left="818"/>
              <w:spacing w:after="0"/>
              <w:rPr>
                <w:sz w:val="20"/>
                <w:szCs w:val="20"/>
                <w:color w:val="auto"/>
              </w:rPr>
            </w:pPr>
            <w:r>
              <w:rPr>
                <w:rFonts w:ascii="Arial" w:cs="Arial" w:eastAsia="Arial" w:hAnsi="Arial"/>
                <w:sz w:val="14"/>
                <w:szCs w:val="14"/>
                <w:b w:val="1"/>
                <w:bCs w:val="1"/>
                <w:color w:val="auto"/>
                <w:w w:val="92"/>
              </w:rPr>
              <w:t>Fair Value Measurements Using</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in Active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1"/>
              </w:rPr>
              <w:t>Observable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36,494</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36,494</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88,681</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88,681</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65,409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65,409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Government securities</w:t>
            </w: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160,559</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160,559</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40" w:type="dxa"/>
            <w:vAlign w:val="bottom"/>
          </w:tcPr>
          <w:p>
            <w:pPr>
              <w:ind w:left="560"/>
              <w:spacing w:after="0"/>
              <w:rPr>
                <w:sz w:val="20"/>
                <w:szCs w:val="20"/>
                <w:color w:val="auto"/>
              </w:rPr>
            </w:pPr>
            <w:r>
              <w:rPr>
                <w:rFonts w:ascii="Arial" w:cs="Arial" w:eastAsia="Arial" w:hAnsi="Arial"/>
                <w:sz w:val="18"/>
                <w:szCs w:val="18"/>
                <w:color w:val="auto"/>
              </w:rPr>
              <w:t>Total short-term investments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314,649</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314,649</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351,143</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36,494</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314,649</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-976630</wp:posOffset>
            </wp:positionV>
            <wp:extent cx="8572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-976630</wp:posOffset>
            </wp:positionV>
            <wp:extent cx="8572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-976630</wp:posOffset>
            </wp:positionV>
            <wp:extent cx="85725"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-976630</wp:posOffset>
            </wp:positionV>
            <wp:extent cx="8572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-351155</wp:posOffset>
            </wp:positionV>
            <wp:extent cx="8572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-351155</wp:posOffset>
            </wp:positionV>
            <wp:extent cx="8572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-351155</wp:posOffset>
            </wp:positionV>
            <wp:extent cx="8572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-351155</wp:posOffset>
            </wp:positionV>
            <wp:extent cx="8572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-25400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Investments</w:t>
      </w:r>
    </w:p>
    <w:p>
      <w:pPr>
        <w:spacing w:after="0" w:line="117" w:lineRule="exact"/>
        <w:rPr>
          <w:sz w:val="20"/>
          <w:szCs w:val="20"/>
          <w:color w:val="auto"/>
        </w:rPr>
      </w:pPr>
    </w:p>
    <w:p>
      <w:pPr>
        <w:jc w:val="both"/>
        <w:ind w:right="240" w:firstLine="509"/>
        <w:spacing w:after="0" w:line="279" w:lineRule="auto"/>
        <w:rPr>
          <w:sz w:val="20"/>
          <w:szCs w:val="20"/>
          <w:color w:val="auto"/>
        </w:rPr>
      </w:pPr>
      <w:r>
        <w:rPr>
          <w:rFonts w:ascii="Arial" w:cs="Arial" w:eastAsia="Arial" w:hAnsi="Arial"/>
          <w:sz w:val="17"/>
          <w:szCs w:val="17"/>
          <w:color w:val="auto"/>
        </w:rPr>
        <w:t>Financial assets measured at fair value on a recurring basis consist of the Company’s cash equivalents and short-term and long-term investments. Cash equivalents consisted of money market funds and short-term and long-term investments consisted of commercial paper, government securities and corporate bonds. The Company obtains pricing information from its investment manager and generally determines the fair value of investment securities using standard observable inputs, including reported trades, broker/dealer quotes, and bids and/or offers.</w:t>
      </w:r>
    </w:p>
    <w:p>
      <w:pPr>
        <w:spacing w:after="0" w:line="17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Investments are classified as Level 1 within the fair value hierarchy if their quoted prices are available in active markets for identical securities. Investments in money market funds of $27.9 million and $36.5 million as of June 30, 2023 and December 31, 2022, respectively, were classified as Level 1 instruments and were included in cash and cash equivalents.</w:t>
      </w:r>
    </w:p>
    <w:p>
      <w:pPr>
        <w:spacing w:after="0" w:line="184"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Investments in marketable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The marketable securities of $270.4 million and $314.6 million as of June 30, 2023 and December 31, 2022, respectively, were classified as Level 2 instruments. As of June 30, 2023, marketable securities of $251.6 million were included in short-term investments and marketable securities of $18.7 million were included in long-term investments. As of December 31, 2022, marketable securities of $314.6 million were included in short-term investments. Accrued interest receivable related to investments was $0.9 million and $0.8 million as of June 30, 2023 and December 31, 2022, respectively, and included as part of prepaid expenses and other current assets in the condensed balance sheets.</w:t>
      </w:r>
    </w:p>
    <w:p>
      <w:pPr>
        <w:spacing w:after="0" w:line="166"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following tables summarize the Company’s investments accounted for as available-for-sale securities as of June 30, 2023 and December 31, 2022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138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1"/>
                <w:szCs w:val="11"/>
                <w:color w:val="auto"/>
              </w:rPr>
            </w:pPr>
          </w:p>
        </w:tc>
        <w:tc>
          <w:tcPr>
            <w:tcW w:w="96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350"/>
              <w:spacing w:after="0" w:line="133" w:lineRule="exact"/>
              <w:rPr>
                <w:sz w:val="20"/>
                <w:szCs w:val="20"/>
                <w:color w:val="auto"/>
              </w:rPr>
            </w:pPr>
            <w:r>
              <w:rPr>
                <w:rFonts w:ascii="Arial" w:cs="Arial" w:eastAsia="Arial" w:hAnsi="Arial"/>
                <w:sz w:val="14"/>
                <w:szCs w:val="14"/>
                <w:b w:val="1"/>
                <w:bCs w:val="1"/>
                <w:color w:val="auto"/>
                <w:w w:val="95"/>
              </w:rPr>
              <w:t>Unrealized</w:t>
            </w:r>
          </w:p>
        </w:tc>
        <w:tc>
          <w:tcPr>
            <w:tcW w:w="920" w:type="dxa"/>
            <w:vAlign w:val="bottom"/>
          </w:tcPr>
          <w:p>
            <w:pPr>
              <w:jc w:val="center"/>
              <w:ind w:left="1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82"/>
              </w:rPr>
              <w:t>Losses</w:t>
            </w:r>
          </w:p>
        </w:tc>
        <w:tc>
          <w:tcPr>
            <w:tcW w:w="920" w:type="dxa"/>
            <w:vAlign w:val="bottom"/>
          </w:tcPr>
          <w:p>
            <w:pPr>
              <w:jc w:val="center"/>
              <w:ind w:left="16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debt securities</w:t>
            </w: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 year or less</w:t>
            </w: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23,724</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23,669</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 year or less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38,641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(111 )</w:t>
            </w: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securities</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1 year or less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189,806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(380 )</w:t>
            </w: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189,437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Greater than 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8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year</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7,801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(26 )</w:t>
            </w: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securities</w:t>
            </w:r>
          </w:p>
        </w:tc>
        <w:tc>
          <w:tcPr>
            <w:tcW w:w="13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Greater than 1</w:t>
            </w:r>
          </w:p>
        </w:tc>
        <w:tc>
          <w:tcPr>
            <w:tcW w:w="16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10,993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(40 )</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10,953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5"/>
              </w:rPr>
              <w:t>year</w:t>
            </w:r>
          </w:p>
        </w:tc>
        <w:tc>
          <w:tcPr>
            <w:tcW w:w="160" w:type="dxa"/>
            <w:vAlign w:val="bottom"/>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80" w:type="dxa"/>
            <w:vAlign w:val="bottom"/>
          </w:tcPr>
          <w:p>
            <w:pPr>
              <w:ind w:left="20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270,965</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(612 )</w:t>
            </w:r>
          </w:p>
        </w:tc>
        <w:tc>
          <w:tcPr>
            <w:tcW w:w="920" w:type="dxa"/>
            <w:vAlign w:val="bottom"/>
          </w:tcPr>
          <w:p>
            <w:pPr>
              <w:jc w:val="right"/>
              <w:ind w:right="72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270,364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138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1"/>
                <w:szCs w:val="11"/>
                <w:color w:val="auto"/>
              </w:rPr>
            </w:pPr>
          </w:p>
        </w:tc>
        <w:tc>
          <w:tcPr>
            <w:tcW w:w="96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350"/>
              <w:spacing w:after="0" w:line="133" w:lineRule="exact"/>
              <w:rPr>
                <w:sz w:val="20"/>
                <w:szCs w:val="20"/>
                <w:color w:val="auto"/>
              </w:rPr>
            </w:pPr>
            <w:r>
              <w:rPr>
                <w:rFonts w:ascii="Arial" w:cs="Arial" w:eastAsia="Arial" w:hAnsi="Arial"/>
                <w:sz w:val="14"/>
                <w:szCs w:val="14"/>
                <w:b w:val="1"/>
                <w:bCs w:val="1"/>
                <w:color w:val="auto"/>
                <w:w w:val="95"/>
              </w:rPr>
              <w:t>Unrealized</w:t>
            </w:r>
          </w:p>
        </w:tc>
        <w:tc>
          <w:tcPr>
            <w:tcW w:w="920" w:type="dxa"/>
            <w:vAlign w:val="bottom"/>
          </w:tcPr>
          <w:p>
            <w:pPr>
              <w:jc w:val="center"/>
              <w:ind w:left="1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82"/>
              </w:rPr>
              <w:t>Losses</w:t>
            </w:r>
          </w:p>
        </w:tc>
        <w:tc>
          <w:tcPr>
            <w:tcW w:w="920" w:type="dxa"/>
            <w:vAlign w:val="bottom"/>
          </w:tcPr>
          <w:p>
            <w:pPr>
              <w:jc w:val="center"/>
              <w:ind w:left="16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debt securities</w:t>
            </w: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 year or less</w:t>
            </w: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88,995</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ind w:right="7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88,681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 year or less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65,532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(123 )</w:t>
            </w: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Government securities</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1 year or less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160,801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(319 )</w:t>
            </w: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160,559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80" w:type="dxa"/>
            <w:vAlign w:val="bottom"/>
          </w:tcPr>
          <w:p>
            <w:pPr>
              <w:ind w:left="20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315,328</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(762 )</w:t>
            </w:r>
          </w:p>
        </w:tc>
        <w:tc>
          <w:tcPr>
            <w:tcW w:w="920" w:type="dxa"/>
            <w:vAlign w:val="bottom"/>
          </w:tcPr>
          <w:p>
            <w:pPr>
              <w:jc w:val="right"/>
              <w:ind w:right="72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83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314,649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-1345565</wp:posOffset>
            </wp:positionV>
            <wp:extent cx="85725"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-1345565</wp:posOffset>
            </wp:positionV>
            <wp:extent cx="8572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-1345565</wp:posOffset>
            </wp:positionV>
            <wp:extent cx="76835"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-1345565</wp:posOffset>
            </wp:positionV>
            <wp:extent cx="8572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-187960</wp:posOffset>
            </wp:positionV>
            <wp:extent cx="8572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85725"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7683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4" w:name="page15"/>
    <w:bookmarkEnd w:id="14"/>
    <w:p>
      <w:pPr>
        <w:ind w:right="140" w:firstLine="509"/>
        <w:spacing w:after="0" w:line="263" w:lineRule="auto"/>
        <w:rPr>
          <w:sz w:val="20"/>
          <w:szCs w:val="20"/>
          <w:color w:val="auto"/>
        </w:rPr>
      </w:pPr>
      <w:r>
        <w:rPr>
          <w:rFonts w:ascii="Arial" w:cs="Arial" w:eastAsia="Arial" w:hAnsi="Arial"/>
          <w:sz w:val="18"/>
          <w:szCs w:val="18"/>
          <w:color w:val="auto"/>
        </w:rPr>
        <w:t>The Company has classified its investment securities as current and non-current assets on the condensed balance sheets based on each security's contractual maturity date, and all investment securities are accounted for as available-for-sale because these investment securities are considered available for use in current operations.</w:t>
      </w:r>
    </w:p>
    <w:p>
      <w:pPr>
        <w:spacing w:after="0" w:line="184"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The Company considers whether unrealized losses have resulted from a credit loss or other factors. The unrealized losses on the Company’s available-for-sale securities as of June 30, 2023 and December 31, 2022 were caused by fluctuations in market value and interest rates as a result of the economic environment and not credit risk. The Company concluded that an allowance for credit losses was unnecessary as of June 30, 2023 and December 31, 2022. It is neither management’s intention to sell nor is it more likely than not that the Company will be required to sell these investments prior to recovery of their cost basis or recovery of fair value. Unrealized gains and losses are included in accumulated other comprehensive loss.</w:t>
      </w:r>
    </w:p>
    <w:p>
      <w:pPr>
        <w:spacing w:after="0" w:line="161"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During the six months ended June 30, 2023, there were immaterial realized gains recognized on available-for-sale securities sold in the period. There was no realized gain or loss on available-for-sale securities for the six months ended June 30, 2022. The Company uses the specific identification method to determine the cost basis of investments sold.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are comprised of the following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60" w:type="dxa"/>
            <w:vAlign w:val="bottom"/>
          </w:tcPr>
          <w:p>
            <w:pPr>
              <w:jc w:val="center"/>
              <w:ind w:left="459"/>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600" w:type="dxa"/>
            <w:vAlign w:val="bottom"/>
          </w:tcPr>
          <w:p>
            <w:pPr>
              <w:spacing w:after="0"/>
              <w:rPr>
                <w:sz w:val="16"/>
                <w:szCs w:val="16"/>
                <w:color w:val="auto"/>
              </w:rPr>
            </w:pPr>
          </w:p>
        </w:tc>
        <w:tc>
          <w:tcPr>
            <w:tcW w:w="1060" w:type="dxa"/>
            <w:vAlign w:val="bottom"/>
            <w:tcBorders>
              <w:bottom w:val="single" w:sz="8" w:color="auto"/>
            </w:tcBorders>
          </w:tcPr>
          <w:p>
            <w:pPr>
              <w:jc w:val="center"/>
              <w:ind w:left="459"/>
              <w:spacing w:after="0"/>
              <w:rPr>
                <w:sz w:val="20"/>
                <w:szCs w:val="20"/>
                <w:color w:val="auto"/>
              </w:rPr>
            </w:pPr>
            <w:r>
              <w:rPr>
                <w:rFonts w:ascii="Arial" w:cs="Arial" w:eastAsia="Arial" w:hAnsi="Arial"/>
                <w:sz w:val="14"/>
                <w:szCs w:val="14"/>
                <w:b w:val="1"/>
                <w:bCs w:val="1"/>
                <w:color w:val="auto"/>
                <w:w w:val="89"/>
              </w:rPr>
              <w:t>2023</w:t>
            </w:r>
          </w:p>
        </w:tc>
        <w:tc>
          <w:tcPr>
            <w:tcW w:w="5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106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3,390</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5,616</w:t>
            </w: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40" w:type="dxa"/>
            <w:vAlign w:val="bottom"/>
          </w:tcPr>
          <w:p>
            <w:pPr>
              <w:spacing w:after="0"/>
              <w:rPr>
                <w:sz w:val="20"/>
                <w:szCs w:val="20"/>
                <w:color w:val="auto"/>
              </w:rPr>
            </w:pPr>
          </w:p>
        </w:tc>
      </w:tr>
      <w:tr>
        <w:trPr>
          <w:trHeight w:val="276"/>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prepaid expenses and other current assets</w:t>
            </w:r>
          </w:p>
        </w:tc>
        <w:tc>
          <w:tcPr>
            <w:tcW w:w="106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8,545</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594"/>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7600" w:type="dxa"/>
            <w:vAlign w:val="bottom"/>
          </w:tcPr>
          <w:p>
            <w:pPr>
              <w:ind w:left="520"/>
              <w:spacing w:after="0"/>
              <w:rPr>
                <w:sz w:val="20"/>
                <w:szCs w:val="20"/>
                <w:color w:val="auto"/>
              </w:rPr>
            </w:pPr>
            <w:r>
              <w:rPr>
                <w:rFonts w:ascii="Arial" w:cs="Arial" w:eastAsia="Arial" w:hAnsi="Arial"/>
                <w:sz w:val="18"/>
                <w:szCs w:val="18"/>
                <w:color w:val="auto"/>
              </w:rPr>
              <w:t>Property and equipment, net is comprised of the following (in thousands):</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9"/>
        </w:trPr>
        <w:tc>
          <w:tcPr>
            <w:tcW w:w="7600" w:type="dxa"/>
            <w:vAlign w:val="bottom"/>
          </w:tcPr>
          <w:p>
            <w:pPr>
              <w:spacing w:after="0"/>
              <w:rPr>
                <w:sz w:val="24"/>
                <w:szCs w:val="24"/>
                <w:color w:val="auto"/>
              </w:rPr>
            </w:pPr>
          </w:p>
        </w:tc>
        <w:tc>
          <w:tcPr>
            <w:tcW w:w="1060" w:type="dxa"/>
            <w:vAlign w:val="bottom"/>
          </w:tcPr>
          <w:p>
            <w:pPr>
              <w:jc w:val="center"/>
              <w:ind w:left="459"/>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600" w:type="dxa"/>
            <w:vAlign w:val="bottom"/>
          </w:tcPr>
          <w:p>
            <w:pPr>
              <w:spacing w:after="0"/>
              <w:rPr>
                <w:sz w:val="16"/>
                <w:szCs w:val="16"/>
                <w:color w:val="auto"/>
              </w:rPr>
            </w:pPr>
          </w:p>
        </w:tc>
        <w:tc>
          <w:tcPr>
            <w:tcW w:w="1060" w:type="dxa"/>
            <w:vAlign w:val="bottom"/>
            <w:tcBorders>
              <w:bottom w:val="single" w:sz="8" w:color="auto"/>
            </w:tcBorders>
          </w:tcPr>
          <w:p>
            <w:pPr>
              <w:jc w:val="center"/>
              <w:ind w:left="459"/>
              <w:spacing w:after="0"/>
              <w:rPr>
                <w:sz w:val="20"/>
                <w:szCs w:val="20"/>
                <w:color w:val="auto"/>
              </w:rPr>
            </w:pPr>
            <w:r>
              <w:rPr>
                <w:rFonts w:ascii="Arial" w:cs="Arial" w:eastAsia="Arial" w:hAnsi="Arial"/>
                <w:sz w:val="14"/>
                <w:szCs w:val="14"/>
                <w:b w:val="1"/>
                <w:bCs w:val="1"/>
                <w:color w:val="auto"/>
                <w:w w:val="89"/>
              </w:rPr>
              <w:t>2023</w:t>
            </w:r>
          </w:p>
        </w:tc>
        <w:tc>
          <w:tcPr>
            <w:tcW w:w="5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4,301</w:t>
            </w:r>
          </w:p>
        </w:tc>
        <w:tc>
          <w:tcPr>
            <w:tcW w:w="3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4,402</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Research equipment</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14,348</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12,900</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Computers and software</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63,832</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49,655</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property and equipment, gross</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83,554</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67,732</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0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(7,460 )</w:t>
            </w:r>
          </w:p>
        </w:tc>
        <w:tc>
          <w:tcPr>
            <w:tcW w:w="24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(5,824 )</w:t>
            </w:r>
          </w:p>
        </w:tc>
      </w:tr>
      <w:tr>
        <w:trPr>
          <w:trHeight w:val="276"/>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property and equipment, net</w:t>
            </w:r>
          </w:p>
        </w:tc>
        <w:tc>
          <w:tcPr>
            <w:tcW w:w="106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76,094</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61,908</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-2279650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-2262505</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-2279650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-2262505</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49"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Depreciation and amortization expense was $0.8 million and $1.6 million for the three and six months ended June 30, 2023, respectively, and $0.6 million and $1.2 million for the three and six months ended June 30, 2022,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other current liabilities are comprised of the following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442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w:t>
            </w:r>
          </w:p>
        </w:tc>
        <w:tc>
          <w:tcPr>
            <w:tcW w:w="336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4,930</w:t>
            </w:r>
          </w:p>
        </w:tc>
        <w:tc>
          <w:tcPr>
            <w:tcW w:w="3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Accrued research and development costs</w:t>
            </w:r>
          </w:p>
        </w:tc>
        <w:tc>
          <w:tcPr>
            <w:tcW w:w="3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6,338</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3,486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property and equipment</w:t>
            </w:r>
          </w:p>
        </w:tc>
        <w:tc>
          <w:tcPr>
            <w:tcW w:w="33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5,689</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Other accrued and current liabilities</w:t>
            </w:r>
          </w:p>
        </w:tc>
        <w:tc>
          <w:tcPr>
            <w:tcW w:w="3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40" w:type="dxa"/>
            <w:vAlign w:val="bottom"/>
          </w:tcPr>
          <w:p>
            <w:pPr>
              <w:ind w:left="200"/>
              <w:spacing w:after="0"/>
              <w:rPr>
                <w:sz w:val="20"/>
                <w:szCs w:val="20"/>
                <w:color w:val="auto"/>
              </w:rPr>
            </w:pPr>
            <w:r>
              <w:rPr>
                <w:rFonts w:ascii="Arial" w:cs="Arial" w:eastAsia="Arial" w:hAnsi="Arial"/>
                <w:sz w:val="18"/>
                <w:szCs w:val="18"/>
                <w:color w:val="auto"/>
              </w:rPr>
              <w:t>Total accrued and other liabilities</w:t>
            </w:r>
          </w:p>
        </w:tc>
        <w:tc>
          <w:tcPr>
            <w:tcW w:w="3360" w:type="dxa"/>
            <w:vAlign w:val="bottom"/>
          </w:tcPr>
          <w:p>
            <w:pPr>
              <w:spacing w:after="0"/>
              <w:rPr>
                <w:sz w:val="20"/>
                <w:szCs w:val="20"/>
                <w:color w:val="auto"/>
              </w:rPr>
            </w:pP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17,553</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360" w:type="dxa"/>
            <w:vAlign w:val="bottom"/>
            <w:vMerge w:val="restart"/>
          </w:tcPr>
          <w:p>
            <w:pPr>
              <w:jc w:val="right"/>
              <w:ind w:right="1799"/>
              <w:spacing w:after="0"/>
              <w:rPr>
                <w:sz w:val="20"/>
                <w:szCs w:val="20"/>
                <w:color w:val="auto"/>
              </w:rPr>
            </w:pPr>
            <w:r>
              <w:rPr>
                <w:rFonts w:ascii="Arial" w:cs="Arial" w:eastAsia="Arial" w:hAnsi="Arial"/>
                <w:sz w:val="18"/>
                <w:szCs w:val="18"/>
                <w:color w:val="auto"/>
              </w:rPr>
              <w:t>10</w:t>
            </w: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2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Company has operating leases for its current corporate offices, laboratories, manufacturing facilities, and dedicated space in a vivarium in South San Francisco, California. Rent expense, which is recognized on a straight-line basis over the term of each lease, was $2.7 million and $5.5 million for the three and six months ended June 30, 2023, respectively, and $2.8 million and $5.4 million for the three and six months ended June 30, 2022, respectively. The total cash received for operating leases included in the operating cash flows was $2.8 million and $0.2 million, inclusive of $7.8 million and $2.1 million of cash received related to tenant improvement allowance reimbursement less $5.0 million and $1.9 million of rent payments, for the six months ended June 30, 2023 and 2022, respectively. The weighted-average remaining lease term was 10.3 years for the corporate office, laboratory space leases, and additional facility as of June 30, 2023. The weighted-average discount rate was 9.74% as of June 30, 2023.</w:t>
      </w:r>
    </w:p>
    <w:p>
      <w:pPr>
        <w:spacing w:after="0" w:line="58" w:lineRule="exact"/>
        <w:rPr>
          <w:sz w:val="20"/>
          <w:szCs w:val="20"/>
          <w:color w:val="auto"/>
        </w:rPr>
      </w:pPr>
    </w:p>
    <w:p>
      <w:pPr>
        <w:jc w:val="both"/>
        <w:ind w:right="80" w:firstLine="509"/>
        <w:spacing w:after="0" w:line="311" w:lineRule="auto"/>
        <w:rPr>
          <w:sz w:val="20"/>
          <w:szCs w:val="20"/>
          <w:color w:val="auto"/>
        </w:rPr>
      </w:pPr>
      <w:r>
        <w:rPr>
          <w:rFonts w:ascii="Arial" w:cs="Arial" w:eastAsia="Arial" w:hAnsi="Arial"/>
          <w:sz w:val="16"/>
          <w:szCs w:val="16"/>
          <w:color w:val="auto"/>
        </w:rPr>
        <w:t>In May 2018, the Company entered into a lease agreement for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and an extension to the lease term through April 2026.</w:t>
      </w:r>
    </w:p>
    <w:p>
      <w:pPr>
        <w:spacing w:after="0" w:line="41" w:lineRule="exact"/>
        <w:rPr>
          <w:sz w:val="20"/>
          <w:szCs w:val="20"/>
          <w:color w:val="auto"/>
        </w:rPr>
      </w:pPr>
    </w:p>
    <w:p>
      <w:pPr>
        <w:ind w:right="300" w:firstLine="509"/>
        <w:spacing w:after="0" w:line="296" w:lineRule="auto"/>
        <w:rPr>
          <w:sz w:val="20"/>
          <w:szCs w:val="20"/>
          <w:color w:val="auto"/>
        </w:rPr>
      </w:pPr>
      <w:r>
        <w:rPr>
          <w:rFonts w:ascii="Arial" w:cs="Arial" w:eastAsia="Arial" w:hAnsi="Arial"/>
          <w:sz w:val="16"/>
          <w:szCs w:val="16"/>
          <w:color w:val="auto"/>
        </w:rPr>
        <w:t>In May 2020, the Company signed a second amendment to the Initial Lease Agreement. The amended lease provides for an eight-year non-cancelable lease of additional office and laboratory space in the same building. The lease amendment for additional office and laboratory space contains rent escalations during the term of the lease. The lease for this additional space commenced in January 2021 and expires in January 2029. The lease amendment also includes an extension of the lease term for the existing office and laboratory space beginning on May 1, 2020 and expiring in January 2029. The amendment to the Initial Lease Agreement also includes an option to extend the lease for an additional seven-year term.</w:t>
      </w:r>
    </w:p>
    <w:p>
      <w:pPr>
        <w:spacing w:after="0" w:line="53"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In January 2021, the Company signed a third amendment to the Initial Lease Agreement which provides for lease of additional space in the same building. The lease amendment for this additional space commenced in April 2021 and expires in March 2024.</w:t>
      </w:r>
    </w:p>
    <w:p>
      <w:pPr>
        <w:spacing w:after="0" w:line="62" w:lineRule="exact"/>
        <w:rPr>
          <w:sz w:val="20"/>
          <w:szCs w:val="20"/>
          <w:color w:val="auto"/>
        </w:rPr>
      </w:pPr>
    </w:p>
    <w:p>
      <w:pPr>
        <w:jc w:val="both"/>
        <w:ind w:right="100" w:firstLine="509"/>
        <w:spacing w:after="0" w:line="301" w:lineRule="auto"/>
        <w:rPr>
          <w:sz w:val="20"/>
          <w:szCs w:val="20"/>
          <w:color w:val="auto"/>
        </w:rPr>
      </w:pPr>
      <w:r>
        <w:rPr>
          <w:rFonts w:ascii="Arial" w:cs="Arial" w:eastAsia="Arial" w:hAnsi="Arial"/>
          <w:sz w:val="16"/>
          <w:szCs w:val="16"/>
          <w:color w:val="auto"/>
        </w:rPr>
        <w:t>In October 2021, the Company signed a fourth amendment to the Initial Lease Agreement which provides for lease of additional space in the same building. The lease for additional office and laboratory space contains rent escalations during the term of the lease. The lease amendment of this additional space commenced in April 2022 and expires in January 2029. The lease amendment also includes this additional space in the Company’s option to extend the amended Initial Lease Agreement for an additional seven-year term. The other terms of the Initial Lease Agreement, as amended, remain unchanged.</w:t>
      </w:r>
    </w:p>
    <w:p>
      <w:pPr>
        <w:spacing w:after="0" w:line="49"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In July 2021, the Company entered into an additional lease agreement for corporate office, manufacturing and laboratory space located in South San Francisco, California with an expiration date approximately twelve years after the lease commencement date (the "Additional Lease Agreement"). The lease for this additional space and the Company's obligation to pay rent commenced in January 2022. In addition to ba</w:t>
      </w:r>
      <w:r>
        <w:rPr>
          <w:rFonts w:ascii="Arial" w:cs="Arial" w:eastAsia="Arial" w:hAnsi="Arial"/>
          <w:sz w:val="16"/>
          <w:szCs w:val="16"/>
          <w:color w:val="212529"/>
        </w:rPr>
        <w:t>se rent, the Company is responsible</w:t>
      </w:r>
      <w:r>
        <w:rPr>
          <w:rFonts w:ascii="Arial" w:cs="Arial" w:eastAsia="Arial" w:hAnsi="Arial"/>
          <w:sz w:val="16"/>
          <w:szCs w:val="16"/>
          <w:color w:val="auto"/>
        </w:rPr>
        <w:t xml:space="preserve"> </w:t>
      </w:r>
      <w:r>
        <w:rPr>
          <w:rFonts w:ascii="Arial" w:cs="Arial" w:eastAsia="Arial" w:hAnsi="Arial"/>
          <w:sz w:val="16"/>
          <w:szCs w:val="16"/>
          <w:color w:val="212529"/>
        </w:rPr>
        <w:t>for payment of direct expenses, which include operating, insurance and tax expenses. The lease also provides for certain tenant improvement allowances of up to approximately $25.2 million for tenant improvements and certain infrastructure upgrades in connection with the initial buildout of the premises, approximately $4.4 million of which, if utilized, would need to be repaid by the Company over the lease term (the “Optional TIA”). In 2021, the Company delivered a security deposit in the form of a letter of credit of $1.6 million to the landlord in connection with the Additional Lease Agreement.</w:t>
      </w:r>
    </w:p>
    <w:p>
      <w:pPr>
        <w:spacing w:after="0" w:line="58" w:lineRule="exact"/>
        <w:rPr>
          <w:sz w:val="20"/>
          <w:szCs w:val="20"/>
          <w:color w:val="auto"/>
        </w:rPr>
      </w:pPr>
    </w:p>
    <w:p>
      <w:pPr>
        <w:ind w:right="280" w:firstLine="509"/>
        <w:spacing w:after="0" w:line="286" w:lineRule="auto"/>
        <w:rPr>
          <w:sz w:val="20"/>
          <w:szCs w:val="20"/>
          <w:color w:val="auto"/>
        </w:rPr>
      </w:pPr>
      <w:r>
        <w:rPr>
          <w:rFonts w:ascii="Arial" w:cs="Arial" w:eastAsia="Arial" w:hAnsi="Arial"/>
          <w:sz w:val="17"/>
          <w:szCs w:val="17"/>
          <w:color w:val="212529"/>
        </w:rPr>
        <w:t xml:space="preserve">In November </w:t>
      </w:r>
      <w:r>
        <w:rPr>
          <w:rFonts w:ascii="Arial" w:cs="Arial" w:eastAsia="Arial" w:hAnsi="Arial"/>
          <w:sz w:val="17"/>
          <w:szCs w:val="17"/>
          <w:color w:val="000000"/>
        </w:rPr>
        <w:t>2021, the Company entered into an amendment to the Additional Lease Agreement. The lease amendment expressly includes</w:t>
      </w:r>
      <w:r>
        <w:rPr>
          <w:rFonts w:ascii="Arial" w:cs="Arial" w:eastAsia="Arial" w:hAnsi="Arial"/>
          <w:sz w:val="17"/>
          <w:szCs w:val="17"/>
          <w:color w:val="212529"/>
        </w:rPr>
        <w:t xml:space="preserve"> </w:t>
      </w:r>
      <w:r>
        <w:rPr>
          <w:rFonts w:ascii="Arial" w:cs="Arial" w:eastAsia="Arial" w:hAnsi="Arial"/>
          <w:sz w:val="17"/>
          <w:szCs w:val="17"/>
          <w:color w:val="000000"/>
        </w:rPr>
        <w:t>manufacturing as a permitted use at the facility, clarifies that Silicon Valley Bank ("SVB") is an acceptable bank for purposes of issuing a letter of credit under the lease, revises the letter of credit transferability terms and replaces the form of letter of credit attached to the lease.</w:t>
      </w:r>
    </w:p>
    <w:p>
      <w:pPr>
        <w:spacing w:after="0" w:line="57"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In August 2022, the Company entered into fifth amendment to the Initial Lease Agreement and a second amendment to the Additional Lease Agreement for its existing facilities in South San Francisco, California. The fifth amendment to the Initial Lease Agreement includes an extension of the lease term for certain of the Company's existing facilities through July 31, 2030. The second amendment to the Additional Lease Agreement provides for approximately $15.0 million of additional tenant improvement allowances, in addition to the tenant improvement allowances of $25.2 million included in the original Additional Lease Agreement, and increases the base rent payments over the existing term of the lease.</w:t>
      </w:r>
    </w:p>
    <w:p>
      <w:pPr>
        <w:spacing w:after="0" w:line="68" w:lineRule="exact"/>
        <w:rPr>
          <w:sz w:val="20"/>
          <w:szCs w:val="20"/>
          <w:color w:val="auto"/>
        </w:rPr>
      </w:pPr>
    </w:p>
    <w:p>
      <w:pPr>
        <w:ind w:right="320" w:firstLine="509"/>
        <w:spacing w:after="0" w:line="259" w:lineRule="auto"/>
        <w:rPr>
          <w:sz w:val="20"/>
          <w:szCs w:val="20"/>
          <w:color w:val="auto"/>
        </w:rPr>
      </w:pPr>
      <w:r>
        <w:rPr>
          <w:rFonts w:ascii="Arial" w:cs="Arial" w:eastAsia="Arial" w:hAnsi="Arial"/>
          <w:sz w:val="18"/>
          <w:szCs w:val="18"/>
          <w:color w:val="auto"/>
        </w:rPr>
        <w:t>In March 2023, the Company held $2.7 million in collateral money market accounts supporting letters of credit issued by SVB to the landlord in connection with the Initial Lease Agreement and Additional Lease Agreement. In April 2023, the Company replaced the $2.7 million in letters of credit issued by SVB with letters of credit in the same amount from a different financial institution, and the Company entered into a third amendment to the Additional Lease Agreement. The lease amendment clarifies the form of letter of credit.</w:t>
      </w:r>
    </w:p>
    <w:p>
      <w:pPr>
        <w:spacing w:after="0" w:line="79"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In June 2023, the Company entered into a fourth amendment to the Additional Lease Agreement. The lease amendment confirms that the Company utilized the Optional TIA in the amount of approximately $4.4 million and as a result the Company began repaying the “Optional TIA” on July 1, 2023. The other terms of the Additional Lease Agreement, as amended, remain unchanged.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Maturities of operating lease liabilities under existing operating leases as of June 30, 2023 were as follows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94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236"/>
        </w:trPr>
        <w:tc>
          <w:tcPr>
            <w:tcW w:w="89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2023 (remaining six months)</w:t>
            </w:r>
          </w:p>
        </w:tc>
        <w:tc>
          <w:tcPr>
            <w:tcW w:w="24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6,560</w:t>
            </w:r>
          </w:p>
        </w:tc>
        <w:tc>
          <w:tcPr>
            <w:tcW w:w="140" w:type="dxa"/>
            <w:vAlign w:val="bottom"/>
            <w:shd w:val="clear" w:color="auto" w:fill="CFF0FC"/>
          </w:tcPr>
          <w:p>
            <w:pPr>
              <w:spacing w:after="0"/>
              <w:rPr>
                <w:sz w:val="20"/>
                <w:szCs w:val="20"/>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12,720</w:t>
            </w:r>
          </w:p>
        </w:tc>
        <w:tc>
          <w:tcPr>
            <w:tcW w:w="140" w:type="dxa"/>
            <w:vAlign w:val="bottom"/>
          </w:tcPr>
          <w:p>
            <w:pPr>
              <w:spacing w:after="0"/>
              <w:rPr>
                <w:sz w:val="20"/>
                <w:szCs w:val="20"/>
                <w:color w:val="auto"/>
              </w:rPr>
            </w:pPr>
          </w:p>
        </w:tc>
      </w:tr>
      <w:tr>
        <w:trPr>
          <w:trHeight w:val="249"/>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13,027</w:t>
            </w:r>
          </w:p>
        </w:tc>
        <w:tc>
          <w:tcPr>
            <w:tcW w:w="140" w:type="dxa"/>
            <w:vAlign w:val="bottom"/>
            <w:shd w:val="clear" w:color="auto" w:fill="CFF0FC"/>
          </w:tcPr>
          <w:p>
            <w:pPr>
              <w:spacing w:after="0"/>
              <w:rPr>
                <w:sz w:val="21"/>
                <w:szCs w:val="2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13,462</w:t>
            </w:r>
          </w:p>
        </w:tc>
        <w:tc>
          <w:tcPr>
            <w:tcW w:w="140" w:type="dxa"/>
            <w:vAlign w:val="bottom"/>
          </w:tcPr>
          <w:p>
            <w:pPr>
              <w:spacing w:after="0"/>
              <w:rPr>
                <w:sz w:val="20"/>
                <w:szCs w:val="20"/>
                <w:color w:val="auto"/>
              </w:rPr>
            </w:pPr>
          </w:p>
        </w:tc>
      </w:tr>
      <w:tr>
        <w:trPr>
          <w:trHeight w:val="249"/>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13,912</w:t>
            </w:r>
          </w:p>
        </w:tc>
        <w:tc>
          <w:tcPr>
            <w:tcW w:w="140" w:type="dxa"/>
            <w:vAlign w:val="bottom"/>
            <w:shd w:val="clear" w:color="auto" w:fill="CFF0FC"/>
          </w:tcPr>
          <w:p>
            <w:pPr>
              <w:spacing w:after="0"/>
              <w:rPr>
                <w:sz w:val="21"/>
                <w:szCs w:val="2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87,254</w:t>
            </w:r>
          </w:p>
        </w:tc>
        <w:tc>
          <w:tcPr>
            <w:tcW w:w="140" w:type="dxa"/>
            <w:vAlign w:val="bottom"/>
          </w:tcPr>
          <w:p>
            <w:pPr>
              <w:spacing w:after="0"/>
              <w:rPr>
                <w:sz w:val="20"/>
                <w:szCs w:val="20"/>
                <w:color w:val="auto"/>
              </w:rPr>
            </w:pPr>
          </w:p>
        </w:tc>
      </w:tr>
      <w:tr>
        <w:trPr>
          <w:trHeight w:val="243"/>
        </w:trPr>
        <w:tc>
          <w:tcPr>
            <w:tcW w:w="8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undiscounted future minimum lease payments</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146,935</w:t>
            </w:r>
          </w:p>
        </w:tc>
        <w:tc>
          <w:tcPr>
            <w:tcW w:w="140" w:type="dxa"/>
            <w:vAlign w:val="bottom"/>
            <w:shd w:val="clear" w:color="auto" w:fill="CFF0FC"/>
          </w:tcPr>
          <w:p>
            <w:pPr>
              <w:spacing w:after="0"/>
              <w:rPr>
                <w:sz w:val="21"/>
                <w:szCs w:val="2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(56,438 )</w:t>
            </w:r>
          </w:p>
        </w:tc>
      </w:tr>
      <w:tr>
        <w:trPr>
          <w:trHeight w:val="277"/>
        </w:trPr>
        <w:tc>
          <w:tcPr>
            <w:tcW w:w="8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90,497</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3"/>
        </w:trPr>
        <w:tc>
          <w:tcPr>
            <w:tcW w:w="89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9"/>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6,050</w:t>
            </w:r>
          </w:p>
        </w:tc>
        <w:tc>
          <w:tcPr>
            <w:tcW w:w="140" w:type="dxa"/>
            <w:vAlign w:val="bottom"/>
            <w:shd w:val="clear" w:color="auto" w:fill="CFF0FC"/>
          </w:tcPr>
          <w:p>
            <w:pPr>
              <w:spacing w:after="0"/>
              <w:rPr>
                <w:sz w:val="21"/>
                <w:szCs w:val="2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84,447</w:t>
            </w:r>
          </w:p>
        </w:tc>
        <w:tc>
          <w:tcPr>
            <w:tcW w:w="140" w:type="dxa"/>
            <w:vAlign w:val="bottom"/>
          </w:tcPr>
          <w:p>
            <w:pPr>
              <w:spacing w:after="0"/>
              <w:rPr>
                <w:sz w:val="20"/>
                <w:szCs w:val="20"/>
                <w:color w:val="auto"/>
              </w:rPr>
            </w:pPr>
          </w:p>
        </w:tc>
      </w:tr>
      <w:tr>
        <w:trPr>
          <w:trHeight w:val="277"/>
        </w:trPr>
        <w:tc>
          <w:tcPr>
            <w:tcW w:w="8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lease liability</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90,497</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-676275</wp:posOffset>
            </wp:positionV>
            <wp:extent cx="85725"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Company tests long-lived assets for recoverability whenever events or changes in circumstances suggest that the carrying value of an asset or group of assets may not be recoverable. During the three months ended June 30, 2023, the Company started to market for sublease portions of the Company's leased corporate office space in South San Francisco. As a result of these plans, the Company reviewed these spaces for impairment during the three months ended June 30, 2023. As part of the impairment evaluation of the spaces being marketed for sublease, the Company compared the estimated undiscounted income for the marketed sublease spaces to the net book value of the related long-term assets, which include right-of-use assets and certain property, plant and equipment, primarily for leasehold improvements (collectively, “Sublease Asset Group”). The Company estimated potential sublease income using market participant assumptions, which the Company evaluated based on current real estate trends and market conditions. For the Sublease Asset Group, the Company determined that the respective right-of-use assets had net carrying values that exceeded their estimated undiscounted future cash flows. Accordingly, the Company then estimated the fair value of the Sublease Asset Group based on its discounted cash flows. The carrying value of the Sublease Asset Group exceeded its fair values and, as a result, the Company recorded a right-of-use asset impairment of $4.1 million for the three months ended June 30, 2023. The impairment is recorded within general and administrative expenses in the condensed statements of operations and comprehensive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&amp;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Agreement</w:t>
      </w:r>
    </w:p>
    <w:p>
      <w:pPr>
        <w:spacing w:after="0" w:line="11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June 30, 2023 and December 31, 2022.</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As of June 30, 2023 and December 31, 2022, the Company had $2.7 million in letter of credit agreements with a financial institution that are used as collateral for the Company’s corporate headquarters’ operating lease and the additional facility in South San Francisco that the Company plans to use for corporate offices, laboratories and manufacturing. The letters of credit automatically renew annually without amendment unless cancelled by the financial institutions within 30 to 60 days of the annual expiration date. The letters of credit are presented as restricted cash in the condensed balance sheet.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Company, from time to time, may be involved in litigation arising in the ordinary course of business. The Company assesses its potential liability in such situations by analyzing potential outcomes, assuming various litigation, regulatory and settlement strategies. If the Company determines a loss is probable and its amount can be reasonably estimated, the Company accrues an amount equal to the estimated loss. No losses and no provision for a loss contingency have been recorded to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The Company enters into contracts in the normal course of business for clinical trials, preclinical studies, manufacturing and other services and products for operating purposes. These contracts generally provide for termination following a certain period after notice and therefore the Company believes that non-cancelable obligations under these agreements are not material.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CRISPR Collaboration Agreement</w:t>
      </w:r>
    </w:p>
    <w:p>
      <w:pPr>
        <w:spacing w:after="0" w:line="216"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On May 5, 2021, the Company entered into a research collaboration agreement (as amended, the "CRISPR Agreement") with CRISPR Therapeutics AG ("CRISPR") to co-develop and co-commercialize an allogeneic, off-the-shelf chimeric antigen receptor-natural killer ("CAR NK") product candidate targeting the CD70 tumor antigen ("NKX070") and an allogeneic, off-the-shelf product candidate that comprises both engineered NK cells and engineered T cells ("NK+T"). In May 2022, the CRISPR Agreement was amended to revise the transfer of materials and nomination provisions. On March 8, 2023, the CRISPR Agreement was further amended to permit Nkarta's advancement of CRISPR-licensed product candidates targeting a specified tumor antigen (the "Specified TA") and incorporate associated development and regulatory approval milestones and sales based royalties. In addition, the Company has received licenses from CRISPR for four CRISPR-Cas9 gene editing targets and will receive a license from CRISPR for up to one more CRISPR-Cas9 gene editing targets that can be engineered into an unlimited number of its own NK cell products. CRISPR also has an option to co-develop and co-commercialize a future CAR NK program.</w:t>
      </w:r>
    </w:p>
    <w:p>
      <w:pPr>
        <w:spacing w:after="0" w:line="18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Under the terms of the CRISPR Agreement, the Company and CRISPR share equally in all research and development costs and potential profits worldwide related to the NKX070 product candidate, NK+T product candidate, and the potential future CAR NK program. For the NK+T program, CRISPR is responsible for gene-editing activities and T cell related activities, and Nkarta is responsible for NK cell related activities. The related impact of the cost sharing associated with the research and development activities is included in research and development expense on the condensed statements of operations and comprehensive loss. Expenses related to services performed by the Company are classified as research and development expense. Payments received from CRISPR for partial reimbursement of expenses are recorded as a reduction of research and development expense. Reduction of research and development expense resulting from partial reimbursement from CRISPR was $0.3 million and $1.2 million for the three and six months ended June 30, 2023, respectively, and $0.7 million and $1.8 million for the three and six months ended June 30, 2022, respectively. As of June 30, 2023, the Company had a $1.2 million receivable under the research cost sharing provision, which is included as part of prepaid expenses and other current assets in the condensed balance sheet.</w:t>
      </w:r>
    </w:p>
    <w:p>
      <w:pPr>
        <w:spacing w:after="0" w:line="212" w:lineRule="exact"/>
        <w:rPr>
          <w:sz w:val="20"/>
          <w:szCs w:val="20"/>
          <w:color w:val="auto"/>
        </w:rPr>
      </w:pPr>
    </w:p>
    <w:p>
      <w:pPr>
        <w:ind w:right="160" w:firstLine="554"/>
        <w:spacing w:after="0" w:line="271" w:lineRule="auto"/>
        <w:rPr>
          <w:sz w:val="20"/>
          <w:szCs w:val="20"/>
          <w:color w:val="auto"/>
        </w:rPr>
      </w:pPr>
      <w:r>
        <w:rPr>
          <w:rFonts w:ascii="Arial" w:cs="Arial" w:eastAsia="Arial" w:hAnsi="Arial"/>
          <w:sz w:val="17"/>
          <w:szCs w:val="17"/>
          <w:color w:val="auto"/>
        </w:rPr>
        <w:t>For each non-collaboration product candidate incorporating a genome editing target licensed from CRISPR (a "CRISPR-Licensed Product Candidate"), other than those targeting the Specified TA, the Company would retain worldwide rights and may be required to make potential future payments based on the achievement of development and regulatory approval milestones totaling less than mid-twenty million dollars, as well as tiered royalties up to the mid-single digits on net product sales of such product candidate. For each CRISPR-Licensed Product Candidate targeting the Specified TA, the Company would retain worldwide rights and may be required to make potential future payments based on the achievement of development and regulatory approval milestones totaling less than high-forty million dollars, as well as tiered royalties up to the mid-single digits on net product sales of such product candidate. As of June 30, 2023, the Company has not paid any amounts nor are any amounts owed by the Company under the CRISPR Agreement, and no milestones have been achieved.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The Company’s 2020 Performance Incentive Plan (the "2020 Plan"), which was adopted by the Company’s board of directors in June 2020 and approved by the Company’s stockholders in July 2020, became effective upon the consummation of the Company’s initial public offering in July 2020 ("IPO"). Upon the effectiveness of the 2020 Plan, no further grants may be made under the Company’s 2015 Equity Incentive Plan (the "2015 Plan"). The 2020 Plan allows for the grant of incentive stock options, non-qualified stock options, stock appreciation rights, stock bonuses, restricted stock, stock units and other forms of awards including cash awards to its officers, directors, employees, consultants and advisors.</w:t>
      </w:r>
    </w:p>
    <w:p>
      <w:pPr>
        <w:spacing w:after="0" w:line="284"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As of June 30, 2023, a total of 8,388,917 shares of the Company’s common stock were authorized for issuance with respect to awards granted under the 2020 Plan (this number of shares gives effect to the annual increases in the 2020 Plan share limit, as described in the next sentence, through that date).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620"/>
        <w:spacing w:after="0" w:line="277" w:lineRule="auto"/>
        <w:rPr>
          <w:sz w:val="20"/>
          <w:szCs w:val="20"/>
          <w:color w:val="auto"/>
        </w:rPr>
      </w:pPr>
      <w:r>
        <w:rPr>
          <w:rFonts w:ascii="Arial" w:cs="Arial" w:eastAsia="Arial" w:hAnsi="Arial"/>
          <w:sz w:val="18"/>
          <w:szCs w:val="18"/>
          <w:color w:val="auto"/>
        </w:rPr>
        <w:t>related tax withholding obligations, will become available for new award grants under the 2020 Plan. A total of 2,535,547 shares were available for issuance under the 2020 Plan as of June 30, 2023.</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option activity under the 2020 Plan and 2015 Plan during the six months ended June 30, 2023: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center"/>
              <w:ind w:left="339"/>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6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 shares</w:t>
            </w:r>
          </w:p>
        </w:tc>
        <w:tc>
          <w:tcPr>
            <w:tcW w:w="900" w:type="dxa"/>
            <w:vAlign w:val="bottom"/>
          </w:tcPr>
          <w:p>
            <w:pPr>
              <w:jc w:val="center"/>
              <w:ind w:left="339"/>
              <w:spacing w:after="0" w:line="149" w:lineRule="exact"/>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term</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4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900" w:type="dxa"/>
            <w:vAlign w:val="bottom"/>
          </w:tcPr>
          <w:p>
            <w:pPr>
              <w:jc w:val="center"/>
              <w:ind w:left="359"/>
              <w:spacing w:after="0"/>
              <w:rPr>
                <w:sz w:val="20"/>
                <w:szCs w:val="20"/>
                <w:color w:val="auto"/>
              </w:rPr>
            </w:pPr>
            <w:r>
              <w:rPr>
                <w:rFonts w:ascii="Arial" w:cs="Arial" w:eastAsia="Arial" w:hAnsi="Arial"/>
                <w:sz w:val="14"/>
                <w:szCs w:val="14"/>
                <w:b w:val="1"/>
                <w:bCs w:val="1"/>
                <w:color w:val="auto"/>
                <w:w w:val="89"/>
              </w:rPr>
              <w:t>price</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5,519,275</w:t>
            </w:r>
          </w:p>
        </w:tc>
        <w:tc>
          <w:tcPr>
            <w:tcW w:w="30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17.17</w:t>
            </w:r>
          </w:p>
        </w:tc>
        <w:tc>
          <w:tcPr>
            <w:tcW w:w="28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1,591,028</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5.44</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(6,145 )</w:t>
            </w:r>
          </w:p>
        </w:tc>
        <w:tc>
          <w:tcPr>
            <w:tcW w:w="9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(346,329 )</w:t>
            </w:r>
          </w:p>
        </w:tc>
        <w:tc>
          <w:tcPr>
            <w:tcW w:w="9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15.08</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2023</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6,757,829</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14.53</w:t>
            </w:r>
          </w:p>
        </w:tc>
        <w:tc>
          <w:tcPr>
            <w:tcW w:w="28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Exercisable at June 30, 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3,190,539</w:t>
            </w: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16.68</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and expected to vest at June 30, 2023</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6,757,829</w:t>
            </w:r>
          </w:p>
        </w:tc>
        <w:tc>
          <w:tcPr>
            <w:tcW w:w="30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14.53</w:t>
            </w:r>
          </w:p>
        </w:tc>
        <w:tc>
          <w:tcPr>
            <w:tcW w:w="28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-385445</wp:posOffset>
            </wp:positionV>
            <wp:extent cx="2177415"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77415" cy="20574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8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weighted-average grant date fair value of stock option grants was $4.14 per share for the six months ended June 30, 2023.</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restricted stock unit activity under the 2020 Plan during the six months ended June 30, 2023:</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Weighted-average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9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 shares</w:t>
            </w:r>
          </w:p>
        </w:tc>
        <w:tc>
          <w:tcPr>
            <w:tcW w:w="1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grant date fair value per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56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535"/>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356,728</w:t>
            </w:r>
          </w:p>
        </w:tc>
        <w:tc>
          <w:tcPr>
            <w:tcW w:w="3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503,639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(78,543 )</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(64,868 )</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2023</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716,956</w:t>
            </w:r>
          </w:p>
        </w:tc>
        <w:tc>
          <w:tcPr>
            <w:tcW w:w="3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The Company’s 2020 Employee Stock Purchase Plan (the "ESPP"), which was adopted by the Company’s board of directors in June 2020 and approved by the Company’s stockholders in July 2020, became effective upon the consummation of the IPO. A total of 1,441,307 shares of the Company’s common stock were authorized for issuance under the ESPP.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six-month offering periods extend from June to November and December to May. As of June 30, 2023, 156,986 shares had been issued under the ESPP, and 1,284,321 shares remained available for issuance under the ESPP (after giving effect to share purchases under the ESPP through and including the offering period on May 31, 2023). As of June 30, 2023, employee contributions to the ESPP were $0.1 million and included as part of accrued and other current liabilities in the condensed balance sheets.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Share-based compensation expense for the three and six ended June 30, 2023 and 2022 was as follows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ind w:left="460"/>
              <w:spacing w:after="0"/>
              <w:rPr>
                <w:sz w:val="20"/>
                <w:szCs w:val="20"/>
                <w:color w:val="auto"/>
              </w:rPr>
            </w:pPr>
            <w:r>
              <w:rPr>
                <w:rFonts w:ascii="Arial" w:cs="Arial" w:eastAsia="Arial" w:hAnsi="Arial"/>
                <w:sz w:val="14"/>
                <w:szCs w:val="14"/>
                <w:b w:val="1"/>
                <w:bCs w:val="1"/>
                <w:color w:val="auto"/>
                <w:w w:val="92"/>
              </w:rPr>
              <w:t>Six Months 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4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335"/>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4"/>
                <w:szCs w:val="14"/>
                <w:color w:val="auto"/>
              </w:rPr>
            </w:pPr>
          </w:p>
        </w:tc>
      </w:tr>
      <w:tr>
        <w:trPr>
          <w:trHeight w:val="23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62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2,123</w:t>
            </w:r>
          </w:p>
        </w:tc>
        <w:tc>
          <w:tcPr>
            <w:tcW w:w="30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1,602</w:t>
            </w:r>
          </w:p>
        </w:tc>
        <w:tc>
          <w:tcPr>
            <w:tcW w:w="3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88"/>
              </w:rPr>
              <w:t>4,205</w:t>
            </w:r>
          </w:p>
        </w:tc>
        <w:tc>
          <w:tcPr>
            <w:tcW w:w="30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40" w:type="dxa"/>
            <w:vAlign w:val="bottom"/>
            <w:shd w:val="clear" w:color="auto" w:fill="CFF0FC"/>
          </w:tcPr>
          <w:p>
            <w:pPr>
              <w:spacing w:after="0"/>
              <w:rPr>
                <w:sz w:val="20"/>
                <w:szCs w:val="20"/>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6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2,527</w:t>
            </w:r>
          </w:p>
        </w:tc>
        <w:tc>
          <w:tcPr>
            <w:tcW w:w="3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2,310</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5,191</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140" w:type="dxa"/>
            <w:vAlign w:val="bottom"/>
          </w:tcPr>
          <w:p>
            <w:pPr>
              <w:spacing w:after="0"/>
              <w:rPr>
                <w:sz w:val="20"/>
                <w:szCs w:val="20"/>
                <w:color w:val="auto"/>
              </w:rPr>
            </w:pPr>
          </w:p>
        </w:tc>
      </w:tr>
      <w:tr>
        <w:trPr>
          <w:trHeight w:val="276"/>
        </w:trPr>
        <w:tc>
          <w:tcPr>
            <w:tcW w:w="4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share-based compensation</w:t>
            </w:r>
          </w:p>
        </w:tc>
        <w:tc>
          <w:tcPr>
            <w:tcW w:w="16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4,650</w:t>
            </w:r>
          </w:p>
        </w:tc>
        <w:tc>
          <w:tcPr>
            <w:tcW w:w="3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3,912</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88"/>
              </w:rPr>
              <w:t>9,396</w:t>
            </w:r>
          </w:p>
        </w:tc>
        <w:tc>
          <w:tcPr>
            <w:tcW w:w="3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8,009</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635"/>
        </w:trPr>
        <w:tc>
          <w:tcPr>
            <w:tcW w:w="4020" w:type="dxa"/>
            <w:vAlign w:val="bottom"/>
          </w:tcPr>
          <w:p>
            <w:pPr>
              <w:spacing w:after="0"/>
              <w:rPr>
                <w:sz w:val="24"/>
                <w:szCs w:val="24"/>
                <w:color w:val="auto"/>
              </w:rPr>
            </w:pPr>
          </w:p>
        </w:tc>
        <w:tc>
          <w:tcPr>
            <w:tcW w:w="2340" w:type="dxa"/>
            <w:vAlign w:val="bottom"/>
            <w:gridSpan w:val="2"/>
          </w:tcPr>
          <w:p>
            <w:pPr>
              <w:jc w:val="right"/>
              <w:ind w:right="559"/>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-522605</wp:posOffset>
            </wp:positionV>
            <wp:extent cx="85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-504825</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-522605</wp:posOffset>
            </wp:positionV>
            <wp:extent cx="857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-504825</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-522605</wp:posOffset>
            </wp:positionV>
            <wp:extent cx="85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-504825</wp:posOffset>
            </wp:positionV>
            <wp:extent cx="857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-522605</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-504825</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jc w:val="both"/>
        <w:ind w:firstLine="509"/>
        <w:spacing w:after="0" w:line="311" w:lineRule="auto"/>
        <w:rPr>
          <w:sz w:val="20"/>
          <w:szCs w:val="20"/>
          <w:color w:val="auto"/>
        </w:rPr>
      </w:pPr>
      <w:r>
        <w:rPr>
          <w:rFonts w:ascii="Arial" w:cs="Arial" w:eastAsia="Arial" w:hAnsi="Arial"/>
          <w:sz w:val="16"/>
          <w:szCs w:val="16"/>
          <w:color w:val="auto"/>
        </w:rPr>
        <w:t>The total unrecognized compensation cost related to unvested stock options was $29.3 million, which is expected to be recognized over a weighted-average remaining service period of 2.67 years as of June 30, 2023. The total unrecognized compensation cost related to unvested restricted stock units was $5.2 million, which is expected to be recognized over a weighted-average remaining service period of 3.26 years as of June 30,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Early Exercise of Restricted Stock Options</w:t>
      </w:r>
    </w:p>
    <w:p>
      <w:pPr>
        <w:spacing w:after="0" w:line="225" w:lineRule="exact"/>
        <w:rPr>
          <w:sz w:val="20"/>
          <w:szCs w:val="20"/>
          <w:color w:val="auto"/>
        </w:rPr>
      </w:pPr>
    </w:p>
    <w:p>
      <w:pPr>
        <w:jc w:val="both"/>
        <w:ind w:right="120" w:firstLine="509"/>
        <w:spacing w:after="0" w:line="381" w:lineRule="auto"/>
        <w:rPr>
          <w:sz w:val="20"/>
          <w:szCs w:val="20"/>
          <w:color w:val="auto"/>
        </w:rPr>
      </w:pPr>
      <w:r>
        <w:rPr>
          <w:rFonts w:ascii="Arial" w:cs="Arial" w:eastAsia="Arial" w:hAnsi="Arial"/>
          <w:sz w:val="15"/>
          <w:szCs w:val="15"/>
          <w:color w:val="auto"/>
        </w:rPr>
        <w:t>There were no shares subject to repurchase by the Company as of June 30, 2023. Shares subject to repurchase by the Company were 508 shares as of December 31, 2022, and the related liability recorded under other accrued and other current liabilities in the condensed balance sheet was insignificant.</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There was no provision for income taxes recorded during the three and six months ended June 30, 2023 and 2022. The Company’s deferred tax assets continue to be fully offset by a valuation allowance</w:t>
      </w:r>
      <w:r>
        <w:rPr>
          <w:rFonts w:ascii="Arial" w:cs="Arial" w:eastAsia="Arial" w:hAnsi="Arial"/>
          <w:sz w:val="18"/>
          <w:szCs w:val="18"/>
          <w:color w:val="212529"/>
        </w:rPr>
        <w: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included in Item 1 of Part I of this Quarterly Report on Form 10-Q and with the audited financial statements and the related notes included in our Annual Report on Form 10-K filed with the SEC on March 16, 2023 for the fiscal year ended December 31, 2022, including information with respect to our plans and strategy for our business and related financing. The discussion and analysis below includes forward-looking statements that involve risks and uncertainties, including those risks and uncertainties set forth in the sections titled “Risk Factors”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are a biopharmaceutical company focused on the discovery, development and commercialization of allogeneic, off-the-shelf engineered NK cell therapies. We currently have two lead product candidates, NKX101, a chimeric antigen receptor-natural killer ("CAR NK") product candidate targeting cells that display NKG2D ligands, and NKX019, a CAR NK product candidate targeting the CD19 antigen, in ongoing Phase 1 clinical trials. Both product candidates incorporate proprietary technologies that enable us to generate an abundant supply of NK cells, improve the persistence of these cells for sustained activity in the body, engineer enhanced NK cell recognition of tumor targets, enhance cell fitness and tumor microenvironment evasion, and freeze, store and thaw our engineered NK cells for the treatment of cancer. Our product candidates are allogeneic, which means they are produced using cells from a different person than the patient(s) being treated, and they are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an effective cancer therapy, be well tolerated, and avoid some of the toxicities observed with other cell therapies.</w:t>
      </w:r>
    </w:p>
    <w:p>
      <w:pPr>
        <w:spacing w:after="0" w:line="77"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Our modular NK cell engineering platform is designed to address the limitations and challenges of current technologies for engineering T cells and NK cells. Our process starts with differentiated, mature NK cells derived from healthy donors, and our platform includes proprietary technologies for NK cell expansion, persistence, targeting, genome editing and cryopreservation. We believe that the modular nature of our platform, our use of donor-derived NK cells and the proprietary technologies we use for the multiplex engineering of NK cells are advantages that can support the rapid generation of new product candidates with enhanced properties and/or new targeting receptors for additional disease indications.</w:t>
      </w:r>
    </w:p>
    <w:p>
      <w:pPr>
        <w:spacing w:after="0" w:line="53" w:lineRule="exact"/>
        <w:rPr>
          <w:sz w:val="20"/>
          <w:szCs w:val="20"/>
          <w:color w:val="auto"/>
        </w:rPr>
      </w:pPr>
    </w:p>
    <w:p>
      <w:pPr>
        <w:ind w:right="340" w:firstLine="509"/>
        <w:spacing w:after="0" w:line="259" w:lineRule="auto"/>
        <w:rPr>
          <w:sz w:val="20"/>
          <w:szCs w:val="20"/>
          <w:color w:val="auto"/>
        </w:rPr>
      </w:pPr>
      <w:r>
        <w:rPr>
          <w:rFonts w:ascii="Arial" w:cs="Arial" w:eastAsia="Arial" w:hAnsi="Arial"/>
          <w:sz w:val="18"/>
          <w:szCs w:val="18"/>
          <w:color w:val="auto"/>
        </w:rPr>
        <w:t>NKX101 is currently being studied in a multi-center Phase 1 clinical trial in the U.S. for the treatment of relapsed or refractory acute myeloid leukemia ("r/r AML") and higher risk myelodysplastic syndromes ("MDS"). This ongoing first-in-human study evaluates the safety, pharmacology, and preliminary anti-tumor activity of NKX101. The clinical trial consists of dose finding followed by dose expansion and is designed to identify the recommended Phase 2 dose.</w:t>
      </w:r>
    </w:p>
    <w:p>
      <w:pPr>
        <w:spacing w:after="0" w:line="79" w:lineRule="exact"/>
        <w:rPr>
          <w:sz w:val="20"/>
          <w:szCs w:val="20"/>
          <w:color w:val="auto"/>
        </w:rPr>
      </w:pPr>
    </w:p>
    <w:p>
      <w:pPr>
        <w:ind w:right="340" w:firstLine="509"/>
        <w:spacing w:after="0" w:line="257" w:lineRule="auto"/>
        <w:rPr>
          <w:sz w:val="20"/>
          <w:szCs w:val="20"/>
          <w:color w:val="auto"/>
        </w:rPr>
      </w:pPr>
      <w:r>
        <w:rPr>
          <w:rFonts w:ascii="Arial" w:cs="Arial" w:eastAsia="Arial" w:hAnsi="Arial"/>
          <w:sz w:val="18"/>
          <w:szCs w:val="18"/>
          <w:color w:val="auto"/>
        </w:rPr>
        <w:t>NKX019 is currently being studied in a multi-center Phase 1 clinical trial in the U.S. and Australia for the treatment of a variety of B-cell malignancies by targeting the CD19 antigen that is found on these types of cancerous cells and where CD19-targeted engineered NK cells, T cells and monoclonal antibodies have demonstrated clinical activity. This ongoing first-in-human study evaluates the safety, pharmacology, and preliminary anti-tumor activity of NKX019. The clinical trial consists of dose finding followed by dose expansion and is designed to identify the recommended Phase 2 dose.</w:t>
      </w:r>
    </w:p>
    <w:p>
      <w:pPr>
        <w:spacing w:after="0" w:line="80"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Under the CRISPR Agreement entered into in May 2021, we are collaboratively designing and advancing (a) up to two allogeneic, gene-edited NK cell therapies, one of which is the engineered CAR NK product candidate targeting the CD70 tumor antigen, and (b) one allogeneic, gene-edited NK+T cell therapy.</w:t>
      </w:r>
    </w:p>
    <w:p>
      <w:pPr>
        <w:spacing w:after="0" w:line="76"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Since the commencement of our operations in 2015, we have devoted substantially all of our resources in support of our product development efforts, hiring personnel, raising capital to support and expand such activities and providing general and administrative support for these operations. We have not generated any revenue from product sales and have funded our operations primarily from our IPO completed in July 2020, the issuance of convertible promissory notes, private placements of our preferred stock, the secondary offering of our common stock completed in April 2022, the proceeds from the sale of our common stock pursuant to the</w:t>
      </w:r>
    </w:p>
    <w:p>
      <w:pPr>
        <w:spacing w:after="0" w:line="3" w:lineRule="exact"/>
        <w:rPr>
          <w:sz w:val="20"/>
          <w:szCs w:val="20"/>
          <w:color w:val="auto"/>
        </w:rPr>
      </w:pPr>
    </w:p>
    <w:p>
      <w:pPr>
        <w:jc w:val="both"/>
        <w:ind w:right="140"/>
        <w:spacing w:after="0" w:line="295" w:lineRule="auto"/>
        <w:rPr>
          <w:sz w:val="20"/>
          <w:szCs w:val="20"/>
          <w:color w:val="auto"/>
        </w:rPr>
      </w:pPr>
      <w:r>
        <w:rPr>
          <w:rFonts w:ascii="Arial" w:cs="Arial" w:eastAsia="Arial" w:hAnsi="Arial"/>
          <w:sz w:val="16"/>
          <w:szCs w:val="16"/>
          <w:color w:val="auto"/>
        </w:rPr>
        <w:t>at-the-market" equity offering program (the "ATM Offering Program"), and with proceeds from our previous collaboration. We have incurred a net loss of $64.1 million and $52.9 million during the six months ended June 30, 2023 and 2022, respectively, and $113.8 million and $86.1 million during the years ended December 31, 2022 and 2021, respectively, and we expect to continue to incur significant losses for the foreseeable future. As of June 30, 2023, we had an accumulated deficit of $382.0 million. At June 30, 2023, we had cash, cash equivalents, restricted cash and investments of $302.2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firstLine="509"/>
        <w:spacing w:after="0" w:line="254" w:lineRule="auto"/>
        <w:rPr>
          <w:sz w:val="20"/>
          <w:szCs w:val="20"/>
          <w:color w:val="auto"/>
        </w:rPr>
      </w:pPr>
      <w:r>
        <w:rPr>
          <w:rFonts w:ascii="Arial" w:cs="Arial" w:eastAsia="Arial" w:hAnsi="Arial"/>
          <w:sz w:val="18"/>
          <w:szCs w:val="18"/>
          <w:color w:val="auto"/>
        </w:rPr>
        <w:t>We expect our operating expenses to significantly increase as we continue to develop and seek regulatory approvals for our product candidates, engage in other research and development activities to expand our pipeline of product candidates, maintain and expand our intellectual property portfolio, maintain and expand our product manufacturing capabilities, and ultimately establish a commercial organization.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 depending on the timing of our clinical trials, and our expenditures on other research and development activities.</w:t>
      </w:r>
    </w:p>
    <w:p>
      <w:pPr>
        <w:spacing w:after="0" w:line="8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On March 17, 2023, we filed the Registration Statement on Form S-3, as amended by the Form S-3/A filed on April 24, 2023 (the "Shelf Registration Statement"), covering the offer and sale from time to time, pursuant to Rule 415 of the Securities Act of 1933, as amended (the "Securities Act"), of up to $350.0 million in aggregate offering price of shares of our common stock, shares of our preferred stock, debt securities, warrants, rights and/or units (including up to $120.0 million in aggregate offering price of shares of our common stock, shares of our preferred stock, debt securities, warrants, rights and/or units registered on our Registration Statement on Form S-3 declared effective by the Securities and Exchange Commission (the "SEC") on September 2, 2021 (the "Prior Registration Statement") that have not yet been sold). The Shelf Registration Statement was declared effective by the SEC on May 5, 2023.</w:t>
      </w:r>
    </w:p>
    <w:p>
      <w:pPr>
        <w:spacing w:after="0" w:line="8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We will need substantial additional funding to support our continuing operations and pursue our long-term development strategy. We may seek additional funding through the issuance of our common stock, including through our ATM Offering Program,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We may not be able to raise additional capital on terms acceptable to us, or at all. Any failure to raise capital as and when needed would compromise our ability to execute on our business plan and may cause us to significantly delay, scale back or discontinue the development of some of our programs or curtail any efforts to expand our product pipeline.</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Leadership</w:t>
      </w:r>
    </w:p>
    <w:p>
      <w:pPr>
        <w:spacing w:after="0" w:line="337"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On June 29, 2023, the Company’s board of directors appointed Alyssa Levin as the Company’s Chief Financial and Business Officer and the principal financial and accounting officer, effective July 1, 2023.</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Update on COVID-19, Macroeconomic Conditions, and Supply Disruptions</w:t>
      </w:r>
    </w:p>
    <w:p>
      <w:pPr>
        <w:spacing w:after="0" w:line="121"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Our operations have been and may in the future be impacted by outbreaks of the COVID-19 pandemic or other infectious diseases, as well as by global and national economic and market conditions generally.</w:t>
      </w:r>
    </w:p>
    <w:p>
      <w:pPr>
        <w:spacing w:after="0" w:line="62"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Disruptions in the global supply chain due to COVID-19 outbreaks or other factors have resulted in limited disruptions in the supply of our product candidates, as well as global supply shortages of certain materials that we and our contract development and manufacturing organization ("CDMOs") partners use for research and current good manufacturing practice ("cGMP") manufacturing. To the extent there is a subsequent outbreak of COVID-19 or outbreak of another infectious disease, or if such an outbreak begins to significantly impact essential distribution systems or our third-party manufacturers, contractors or suppliers, we may experience further disruptions in our supply chain and operations with associated delays in the manufacturing and supply of our product candidates.</w:t>
      </w:r>
    </w:p>
    <w:p>
      <w:pPr>
        <w:spacing w:after="0" w:line="84"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A shortage of fludarabine, an agent commonly used in lymphodepleting conditioning was initially reported in 2022 and is ongoing. Fludarabine is used in our NKX101 and NKX019 clinical trials prior to treatment with our product candidates. Certain of our clinical trial sites have indicated that they are experiencing a shortage of fludarabine. Although we and our clinical sites have taken steps to try to mitigate any impact of the shortage on our clinical trials, enrollment has been delayed at certain of our clinical trial sites, and we could continue to experience enrollment delays due to the fludarabine shortage in the future.</w:t>
      </w:r>
    </w:p>
    <w:p>
      <w:pPr>
        <w:spacing w:after="0" w:line="80"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We continuously monitor the effects of domestic and global events, including but not limited to the current and expected impact of outbreaks, inflation, financial conditions affecting the banking system and financial markets, labor shortages, and supply chain matters on our operations, including continued enrollment in the NKX101 and NKX019 clinical trials, as well as on our contract research organizations ("CROs"), CDMOs, and clinical trial sites, to ensure that we remain responsive and adaptable to the dynamic changes in our operating environment.</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Research and development costs consist primarily of costs incurred for the discovery and clinical development of our drug candidates, which include:</w:t>
      </w:r>
    </w:p>
    <w:p>
      <w:pPr>
        <w:spacing w:after="0" w:line="62" w:lineRule="exact"/>
        <w:rPr>
          <w:sz w:val="20"/>
          <w:szCs w:val="20"/>
          <w:color w:val="auto"/>
        </w:rPr>
      </w:pPr>
    </w:p>
    <w:p>
      <w:pPr>
        <w:ind w:left="1020" w:right="38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share-based compensation expenses for employees engaged in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in connection with research, laboratory consumables, sponsored research, and preclinical studies;</w:t>
      </w:r>
    </w:p>
    <w:p>
      <w:pPr>
        <w:spacing w:after="0" w:line="117"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consultants engaged in research and development related services;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to manufacture drug product candidates for use in our preclinical studies and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facilities, depreciation and other expenses, which include allocated expenses for rent and maintenance of facilities, insurance and supplies;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related to regulatory compliance;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annual license fees.</w:t>
      </w:r>
    </w:p>
    <w:p>
      <w:pPr>
        <w:spacing w:after="0" w:line="225" w:lineRule="exact"/>
        <w:rPr>
          <w:sz w:val="20"/>
          <w:szCs w:val="20"/>
          <w:color w:val="auto"/>
        </w:rPr>
      </w:pPr>
    </w:p>
    <w:p>
      <w:pPr>
        <w:ind w:right="300" w:firstLine="509"/>
        <w:spacing w:after="0" w:line="259" w:lineRule="auto"/>
        <w:rPr>
          <w:sz w:val="20"/>
          <w:szCs w:val="20"/>
          <w:color w:val="auto"/>
        </w:rPr>
      </w:pPr>
      <w:r>
        <w:rPr>
          <w:rFonts w:ascii="Arial" w:cs="Arial" w:eastAsia="Arial" w:hAnsi="Arial"/>
          <w:sz w:val="18"/>
          <w:szCs w:val="18"/>
          <w:color w:val="auto"/>
        </w:rPr>
        <w:t>We typically have various early-stage research and drug discovery projects as well as various product candidates undergoing clinical trials. Our internal resources, employees and infrastructure are not directly tied to any one research or drug discovery project and are typically deployed across multiple projects. As such, we do not maintain information regarding the costs incurred for these early-stage research and drug discovery programs on a project-specific basis.</w:t>
      </w:r>
    </w:p>
    <w:p>
      <w:pPr>
        <w:spacing w:after="0" w:line="18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76"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The following table summarizes our research and development expenses for the three and six months ended June 30, 2023 and 2022.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partner cost sharing represents reimbursable research and development expenses from the CRISPR Agreement. The unallocated internal research and development costs include personnel, facility costs, laboratory consumables and discovery and research related activities associated with our pipeline.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5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4"/>
                <w:szCs w:val="14"/>
                <w:color w:val="auto"/>
              </w:rPr>
            </w:pPr>
          </w:p>
        </w:tc>
      </w:tr>
      <w:tr>
        <w:trPr>
          <w:trHeight w:val="169"/>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72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w w:val="74"/>
              </w:rPr>
              <w:t>thousands)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external development program expenses: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400" w:type="dxa"/>
            <w:vAlign w:val="bottom"/>
          </w:tcPr>
          <w:p>
            <w:pPr>
              <w:ind w:left="200"/>
              <w:spacing w:after="0"/>
              <w:rPr>
                <w:sz w:val="20"/>
                <w:szCs w:val="20"/>
                <w:color w:val="auto"/>
              </w:rPr>
            </w:pPr>
            <w:r>
              <w:rPr>
                <w:rFonts w:ascii="Arial" w:cs="Arial" w:eastAsia="Arial" w:hAnsi="Arial"/>
                <w:sz w:val="18"/>
                <w:szCs w:val="18"/>
                <w:color w:val="auto"/>
              </w:rPr>
              <w:t>NKX101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4,580</w:t>
            </w:r>
          </w:p>
        </w:tc>
        <w:tc>
          <w:tcPr>
            <w:tcW w:w="3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4,741</w:t>
            </w:r>
          </w:p>
        </w:tc>
        <w:tc>
          <w:tcPr>
            <w:tcW w:w="3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9,524</w:t>
            </w:r>
          </w:p>
        </w:tc>
        <w:tc>
          <w:tcPr>
            <w:tcW w:w="300" w:type="dxa"/>
            <w:vAlign w:val="bottom"/>
          </w:tcPr>
          <w:p>
            <w:pPr>
              <w:spacing w:after="0"/>
              <w:rPr>
                <w:sz w:val="20"/>
                <w:szCs w:val="20"/>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8,227</w:t>
            </w:r>
          </w:p>
        </w:tc>
        <w:tc>
          <w:tcPr>
            <w:tcW w:w="140" w:type="dxa"/>
            <w:vAlign w:val="bottom"/>
          </w:tcPr>
          <w:p>
            <w:pPr>
              <w:spacing w:after="0"/>
              <w:rPr>
                <w:sz w:val="20"/>
                <w:szCs w:val="20"/>
                <w:color w:val="auto"/>
              </w:rPr>
            </w:pPr>
          </w:p>
        </w:tc>
      </w:tr>
      <w:tr>
        <w:trPr>
          <w:trHeight w:val="249"/>
        </w:trPr>
        <w:tc>
          <w:tcPr>
            <w:tcW w:w="5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NKX019</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8,355</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w:t>
            </w:r>
          </w:p>
        </w:tc>
        <w:tc>
          <w:tcPr>
            <w:tcW w:w="140" w:type="dxa"/>
            <w:vAlign w:val="bottom"/>
            <w:shd w:val="clear" w:color="auto" w:fill="CFF0FC"/>
          </w:tcPr>
          <w:p>
            <w:pPr>
              <w:spacing w:after="0"/>
              <w:rPr>
                <w:sz w:val="21"/>
                <w:szCs w:val="21"/>
                <w:color w:val="auto"/>
              </w:rPr>
            </w:pPr>
          </w:p>
        </w:tc>
      </w:tr>
      <w:tr>
        <w:trPr>
          <w:trHeight w:val="237"/>
        </w:trPr>
        <w:tc>
          <w:tcPr>
            <w:tcW w:w="5400" w:type="dxa"/>
            <w:vAlign w:val="bottom"/>
          </w:tcPr>
          <w:p>
            <w:pPr>
              <w:ind w:left="200"/>
              <w:spacing w:after="0"/>
              <w:rPr>
                <w:sz w:val="20"/>
                <w:szCs w:val="20"/>
                <w:color w:val="auto"/>
              </w:rPr>
            </w:pPr>
            <w:r>
              <w:rPr>
                <w:rFonts w:ascii="Arial" w:cs="Arial" w:eastAsia="Arial" w:hAnsi="Arial"/>
                <w:sz w:val="18"/>
                <w:szCs w:val="18"/>
                <w:color w:val="auto"/>
              </w:rPr>
              <w:t>CD70</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951</w:t>
            </w:r>
          </w:p>
        </w:tc>
        <w:tc>
          <w:tcPr>
            <w:tcW w:w="140" w:type="dxa"/>
            <w:vAlign w:val="bottom"/>
          </w:tcPr>
          <w:p>
            <w:pPr>
              <w:spacing w:after="0"/>
              <w:rPr>
                <w:sz w:val="20"/>
                <w:szCs w:val="20"/>
                <w:color w:val="auto"/>
              </w:rPr>
            </w:pPr>
          </w:p>
        </w:tc>
      </w:tr>
      <w:tr>
        <w:trPr>
          <w:trHeight w:val="249"/>
        </w:trPr>
        <w:tc>
          <w:tcPr>
            <w:tcW w:w="5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NK+T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FF0FC"/>
          </w:tcPr>
          <w:p>
            <w:pPr>
              <w:spacing w:after="0"/>
              <w:rPr>
                <w:sz w:val="21"/>
                <w:szCs w:val="21"/>
                <w:color w:val="auto"/>
              </w:rPr>
            </w:pPr>
          </w:p>
        </w:tc>
      </w:tr>
      <w:tr>
        <w:trPr>
          <w:trHeight w:val="237"/>
        </w:trPr>
        <w:tc>
          <w:tcPr>
            <w:tcW w:w="5400" w:type="dxa"/>
            <w:vAlign w:val="bottom"/>
          </w:tcPr>
          <w:p>
            <w:pPr>
              <w:ind w:left="200"/>
              <w:spacing w:after="0"/>
              <w:rPr>
                <w:sz w:val="20"/>
                <w:szCs w:val="20"/>
                <w:color w:val="auto"/>
              </w:rPr>
            </w:pPr>
            <w:r>
              <w:rPr>
                <w:rFonts w:ascii="Arial" w:cs="Arial" w:eastAsia="Arial" w:hAnsi="Arial"/>
                <w:sz w:val="18"/>
                <w:szCs w:val="18"/>
                <w:color w:val="auto"/>
              </w:rPr>
              <w:t>Program 5</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p>
        </w:tc>
      </w:tr>
      <w:tr>
        <w:trPr>
          <w:trHeight w:val="249"/>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Unallocated internal research and development costs: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400" w:type="dxa"/>
            <w:vAlign w:val="bottom"/>
          </w:tcPr>
          <w:p>
            <w:pPr>
              <w:ind w:left="200"/>
              <w:spacing w:after="0"/>
              <w:rPr>
                <w:sz w:val="20"/>
                <w:szCs w:val="20"/>
                <w:color w:val="auto"/>
              </w:rPr>
            </w:pPr>
            <w:r>
              <w:rPr>
                <w:rFonts w:ascii="Arial" w:cs="Arial" w:eastAsia="Arial" w:hAnsi="Arial"/>
                <w:sz w:val="18"/>
                <w:szCs w:val="18"/>
                <w:color w:val="auto"/>
              </w:rPr>
              <w:t>Personnel related (including share-based compensation)</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10,377</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7,906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20,742</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16,632</w:t>
            </w:r>
          </w:p>
        </w:tc>
        <w:tc>
          <w:tcPr>
            <w:tcW w:w="140" w:type="dxa"/>
            <w:vAlign w:val="bottom"/>
          </w:tcPr>
          <w:p>
            <w:pPr>
              <w:spacing w:after="0"/>
              <w:rPr>
                <w:sz w:val="20"/>
                <w:szCs w:val="20"/>
                <w:color w:val="auto"/>
              </w:rPr>
            </w:pPr>
          </w:p>
        </w:tc>
      </w:tr>
      <w:tr>
        <w:trPr>
          <w:trHeight w:val="249"/>
        </w:trPr>
        <w:tc>
          <w:tcPr>
            <w:tcW w:w="5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5,646</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13,026</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11,093</w:t>
            </w:r>
          </w:p>
        </w:tc>
        <w:tc>
          <w:tcPr>
            <w:tcW w:w="140" w:type="dxa"/>
            <w:vAlign w:val="bottom"/>
            <w:shd w:val="clear" w:color="auto" w:fill="CFF0FC"/>
          </w:tcPr>
          <w:p>
            <w:pPr>
              <w:spacing w:after="0"/>
              <w:rPr>
                <w:sz w:val="21"/>
                <w:szCs w:val="2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Partner cost sharing</w:t>
            </w:r>
          </w:p>
        </w:tc>
        <w:tc>
          <w:tcPr>
            <w:tcW w:w="280" w:type="dxa"/>
            <w:vAlign w:val="bottom"/>
          </w:tcPr>
          <w:p>
            <w:pPr>
              <w:spacing w:after="0"/>
              <w:rPr>
                <w:sz w:val="20"/>
                <w:szCs w:val="20"/>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8"/>
                <w:szCs w:val="18"/>
                <w:color w:val="auto"/>
              </w:rPr>
              <w:t>(251 )</w:t>
            </w:r>
          </w:p>
        </w:tc>
        <w:tc>
          <w:tcPr>
            <w:tcW w:w="3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(726 )</w:t>
            </w:r>
          </w:p>
        </w:tc>
        <w:tc>
          <w:tcPr>
            <w:tcW w:w="280" w:type="dxa"/>
            <w:vAlign w:val="bottom"/>
          </w:tcPr>
          <w:p>
            <w:pPr>
              <w:spacing w:after="0"/>
              <w:rPr>
                <w:sz w:val="20"/>
                <w:szCs w:val="20"/>
                <w:color w:val="auto"/>
              </w:rPr>
            </w:pPr>
          </w:p>
        </w:tc>
        <w:tc>
          <w:tcPr>
            <w:tcW w:w="1220" w:type="dxa"/>
            <w:vAlign w:val="bottom"/>
            <w:gridSpan w:val="2"/>
          </w:tcPr>
          <w:p>
            <w:pPr>
              <w:jc w:val="right"/>
              <w:ind w:right="168"/>
              <w:spacing w:after="0"/>
              <w:rPr>
                <w:sz w:val="20"/>
                <w:szCs w:val="20"/>
                <w:color w:val="auto"/>
              </w:rPr>
            </w:pPr>
            <w:r>
              <w:rPr>
                <w:rFonts w:ascii="Arial" w:cs="Arial" w:eastAsia="Arial" w:hAnsi="Arial"/>
                <w:sz w:val="18"/>
                <w:szCs w:val="18"/>
                <w:color w:val="auto"/>
              </w:rPr>
              <w:t>(1,151 )</w:t>
            </w:r>
          </w:p>
        </w:tc>
        <w:tc>
          <w:tcPr>
            <w:tcW w:w="4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(1,775 )</w:t>
            </w:r>
          </w:p>
        </w:tc>
      </w:tr>
      <w:tr>
        <w:trPr>
          <w:trHeight w:val="277"/>
        </w:trPr>
        <w:tc>
          <w:tcPr>
            <w:tcW w:w="5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research and development costs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25,122</w:t>
            </w:r>
          </w:p>
        </w:tc>
        <w:tc>
          <w:tcPr>
            <w:tcW w:w="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21,049</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51,257</w:t>
            </w:r>
          </w:p>
        </w:tc>
        <w:tc>
          <w:tcPr>
            <w:tcW w:w="3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40,617</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-24765</wp:posOffset>
            </wp:positionV>
            <wp:extent cx="857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85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9"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w:t>
      </w:r>
    </w:p>
    <w:p>
      <w:pPr>
        <w:sectPr>
          <w:pgSz w:w="11900" w:h="16838" w:orient="portrait"/>
          <w:cols w:equalWidth="0" w:num="1">
            <w:col w:w="11240"/>
          </w:cols>
          <w:pgMar w:left="320" w:top="233"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3" w:name="page24"/>
    <w:bookmarkEnd w:id="23"/>
    <w:p>
      <w:pPr>
        <w:ind w:right="480"/>
        <w:spacing w:after="0" w:line="342" w:lineRule="auto"/>
        <w:rPr>
          <w:sz w:val="20"/>
          <w:szCs w:val="20"/>
          <w:color w:val="auto"/>
        </w:rPr>
      </w:pPr>
      <w:r>
        <w:rPr>
          <w:rFonts w:ascii="Arial" w:cs="Arial" w:eastAsia="Arial" w:hAnsi="Arial"/>
          <w:sz w:val="16"/>
          <w:szCs w:val="16"/>
          <w:color w:val="auto"/>
        </w:rPr>
        <w:t>necessary to complete the preclinical and clinical development of any of our drug candidates. However, we expect that our research and development expenses will increase substantially in connection with our planned preclinical and clinical development activities in the near term and in the future.</w:t>
      </w:r>
    </w:p>
    <w:p>
      <w:pPr>
        <w:spacing w:after="0" w:line="124"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w:t>
      </w:r>
    </w:p>
    <w:p>
      <w:pPr>
        <w:spacing w:after="0" w:line="26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w:t>
      </w:r>
    </w:p>
    <w:p>
      <w:pPr>
        <w:spacing w:after="0" w:line="76"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increased research and development activities and to reflect increased costs associated with operating as a public company. These increased costs will likely include increased expenses related to audit, legal, regulatory and tax-related services associated with maintaining compliance with exchange listing and SEC requirements, director and officer insurance premiums and investor relations costs.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Interest income consists of interest earned on our cash, cash equivalents and investments and adjustments related to amortization of purchase premiums and accretion of discounts of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Three Months Ended June 30,</w:t>
            </w:r>
          </w:p>
        </w:tc>
        <w:tc>
          <w:tcPr>
            <w:tcW w:w="9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2"/>
              </w:rPr>
              <w:t>Six Months Ended June 30,</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2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r>
      <w:tr>
        <w:trPr>
          <w:trHeight w:val="237"/>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27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25,122</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21,049</w:t>
            </w:r>
          </w:p>
        </w:tc>
        <w:tc>
          <w:tcPr>
            <w:tcW w:w="14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4,073</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51,257</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40,617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10,640</w:t>
            </w:r>
          </w:p>
        </w:tc>
        <w:tc>
          <w:tcPr>
            <w:tcW w:w="140" w:type="dxa"/>
            <w:vAlign w:val="bottom"/>
          </w:tcPr>
          <w:p>
            <w:pPr>
              <w:spacing w:after="0"/>
              <w:rPr>
                <w:sz w:val="20"/>
                <w:szCs w:val="20"/>
                <w:color w:val="auto"/>
              </w:rPr>
            </w:pPr>
          </w:p>
        </w:tc>
      </w:tr>
      <w:tr>
        <w:trPr>
          <w:trHeight w:val="243"/>
        </w:trPr>
        <w:tc>
          <w:tcPr>
            <w:tcW w:w="2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11,736</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6,563</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5,173</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19,914</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36,858</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71,171</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17,461</w:t>
            </w:r>
          </w:p>
        </w:tc>
        <w:tc>
          <w:tcPr>
            <w:tcW w:w="140" w:type="dxa"/>
            <w:vAlign w:val="bottom"/>
          </w:tcPr>
          <w:p>
            <w:pPr>
              <w:spacing w:after="0"/>
              <w:rPr>
                <w:sz w:val="20"/>
                <w:szCs w:val="20"/>
                <w:color w:val="auto"/>
              </w:rPr>
            </w:pPr>
          </w:p>
        </w:tc>
      </w:tr>
      <w:tr>
        <w:trPr>
          <w:trHeight w:val="243"/>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(36,858</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(9,246</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(71,171</w:t>
            </w:r>
          </w:p>
        </w:tc>
        <w:tc>
          <w:tcPr>
            <w:tcW w:w="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(53,710</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2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7,035</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6,237</w:t>
            </w:r>
          </w:p>
        </w:tc>
        <w:tc>
          <w:tcPr>
            <w:tcW w:w="140" w:type="dxa"/>
            <w:vAlign w:val="bottom"/>
            <w:shd w:val="clear" w:color="auto" w:fill="CFF0FC"/>
          </w:tcPr>
          <w:p>
            <w:pPr>
              <w:spacing w:after="0"/>
              <w:rPr>
                <w:sz w:val="21"/>
                <w:szCs w:val="21"/>
                <w:color w:val="auto"/>
              </w:rPr>
            </w:pPr>
          </w:p>
        </w:tc>
      </w:tr>
      <w:tr>
        <w:trPr>
          <w:trHeight w:val="237"/>
        </w:trPr>
        <w:tc>
          <w:tcPr>
            <w:tcW w:w="278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(2 )</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0"/>
                <w:szCs w:val="20"/>
                <w:color w:val="auto"/>
              </w:rPr>
            </w:pPr>
          </w:p>
        </w:tc>
      </w:tr>
      <w:tr>
        <w:trPr>
          <w:trHeight w:val="236"/>
        </w:trPr>
        <w:tc>
          <w:tcPr>
            <w:tcW w:w="2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net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3,571</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7,069</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 xml:space="preserve">(33,287 </w:t>
            </w:r>
            <w:r>
              <w:rPr>
                <w:rFonts w:ascii="Arial" w:cs="Arial" w:eastAsia="Arial" w:hAnsi="Arial"/>
                <w:sz w:val="18"/>
                <w:szCs w:val="18"/>
                <w:color w:val="auto"/>
                <w:highlight w:val="white"/>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(26,923 )</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(6,364 )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39"/>
              <w:spacing w:after="0"/>
              <w:rPr>
                <w:sz w:val="20"/>
                <w:szCs w:val="20"/>
                <w:color w:val="auto"/>
              </w:rPr>
            </w:pPr>
            <w:r>
              <w:rPr>
                <w:rFonts w:ascii="Arial" w:cs="Arial" w:eastAsia="Arial" w:hAnsi="Arial"/>
                <w:sz w:val="18"/>
                <w:szCs w:val="18"/>
                <w:color w:val="auto"/>
              </w:rPr>
              <w:t>(64,102 )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(52,910 )</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(11,192 )</w:t>
            </w:r>
          </w:p>
        </w:tc>
      </w:tr>
      <w:tr>
        <w:trPr>
          <w:trHeight w:val="20"/>
        </w:trPr>
        <w:tc>
          <w:tcPr>
            <w:tcW w:w="2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-1139190</wp:posOffset>
            </wp:positionV>
            <wp:extent cx="7683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-1139190</wp:posOffset>
            </wp:positionV>
            <wp:extent cx="85725"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-1139190</wp:posOffset>
            </wp:positionV>
            <wp:extent cx="85725"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-1139190</wp:posOffset>
            </wp:positionV>
            <wp:extent cx="85725"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-1139190</wp:posOffset>
            </wp:positionV>
            <wp:extent cx="76835"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-1139190</wp:posOffset>
            </wp:positionV>
            <wp:extent cx="8572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-187960</wp:posOffset>
            </wp:positionV>
            <wp:extent cx="85725"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-187960</wp:posOffset>
            </wp:positionV>
            <wp:extent cx="8572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-187960</wp:posOffset>
            </wp:positionV>
            <wp:extent cx="85725"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76835"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2023 and 2022</w:t>
      </w:r>
    </w:p>
    <w:p>
      <w:pPr>
        <w:spacing w:after="0" w:line="221" w:lineRule="exact"/>
        <w:rPr>
          <w:sz w:val="20"/>
          <w:szCs w:val="20"/>
          <w:color w:val="auto"/>
        </w:rPr>
      </w:pPr>
    </w:p>
    <w:p>
      <w:pPr>
        <w:ind w:right="140" w:firstLine="509"/>
        <w:spacing w:after="0" w:line="281" w:lineRule="auto"/>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 Research and development expenses were $25.1 million and $21.0 million for the three months ended June</w:t>
      </w:r>
      <w:r>
        <w:rPr>
          <w:rFonts w:ascii="Arial" w:cs="Arial" w:eastAsia="Arial" w:hAnsi="Arial"/>
          <w:sz w:val="17"/>
          <w:szCs w:val="17"/>
          <w:b w:val="1"/>
          <w:bCs w:val="1"/>
          <w:color w:val="auto"/>
        </w:rPr>
        <w:t xml:space="preserve"> </w:t>
      </w:r>
      <w:r>
        <w:rPr>
          <w:rFonts w:ascii="Arial" w:cs="Arial" w:eastAsia="Arial" w:hAnsi="Arial"/>
          <w:sz w:val="17"/>
          <w:szCs w:val="17"/>
          <w:color w:val="auto"/>
        </w:rPr>
        <w:t>30, 2023 and 2022, respectively. The increase of $4.1 million was primarily due to an increase in personnel costs of $2.5 million as a result of continued growth in headcount, an increase of $0.2 million in program costs primarily relating to NKX101 and NKX019 and an increase of $1.0 million in other internal research costs, primarily consisting of research and laboratory supplies and facilities expenses.</w:t>
      </w:r>
    </w:p>
    <w:p>
      <w:pPr>
        <w:spacing w:after="0" w:line="169"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Research and development expenses were $51.3 million and $40.6 million for the six months ended June 30, 2023 and 2022, respectively. The increase of $10.6 million was primarily due to an increase in personnel costs of $4.1 million as a result of continued growth in headcount, an increase of $4.0 million in program costs primarily relating to NKX101 and NKX019 and an increase of $1.9 million in other internal research costs, primarily consisting of research and laboratory supplies and facilities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4" w:name="page25"/>
    <w:bookmarkEnd w:id="24"/>
    <w:p>
      <w:pPr>
        <w:ind w:right="140" w:firstLine="509"/>
        <w:spacing w:after="0" w:line="263" w:lineRule="auto"/>
        <w:rPr>
          <w:sz w:val="20"/>
          <w:szCs w:val="20"/>
          <w:color w:val="auto"/>
        </w:rPr>
      </w:pPr>
      <w:r>
        <w:rPr>
          <w:rFonts w:ascii="Arial" w:cs="Arial" w:eastAsia="Arial" w:hAnsi="Arial"/>
          <w:sz w:val="18"/>
          <w:szCs w:val="18"/>
          <w:color w:val="auto"/>
        </w:rPr>
        <w:t>The increase in program costs relating to NKX101 and NKX019 was primarily due to additional clinical development activities compared to the prior year period. We expect our research and development expenses will continue to increase in future periods as we progress our product candidates and conduct our clinical trials and development activities.</w:t>
      </w:r>
    </w:p>
    <w:p>
      <w:pPr>
        <w:spacing w:after="0" w:line="180" w:lineRule="exact"/>
        <w:rPr>
          <w:sz w:val="20"/>
          <w:szCs w:val="20"/>
          <w:color w:val="auto"/>
        </w:rPr>
      </w:pPr>
    </w:p>
    <w:p>
      <w:pPr>
        <w:jc w:val="both"/>
        <w:ind w:right="180" w:firstLine="509"/>
        <w:spacing w:after="0" w:line="261" w:lineRule="auto"/>
        <w:rPr>
          <w:sz w:val="20"/>
          <w:szCs w:val="20"/>
          <w:color w:val="auto"/>
        </w:rPr>
      </w:pPr>
      <w:r>
        <w:rPr>
          <w:rFonts w:ascii="Arial" w:cs="Arial" w:eastAsia="Arial" w:hAnsi="Arial"/>
          <w:sz w:val="18"/>
          <w:szCs w:val="18"/>
          <w:b w:val="1"/>
          <w:bCs w:val="1"/>
          <w:color w:val="auto"/>
        </w:rPr>
        <w:t>General and administrative expenses</w:t>
      </w:r>
      <w:r>
        <w:rPr>
          <w:rFonts w:ascii="Arial" w:cs="Arial" w:eastAsia="Arial" w:hAnsi="Arial"/>
          <w:sz w:val="18"/>
          <w:szCs w:val="18"/>
          <w:color w:val="auto"/>
        </w:rPr>
        <w:t>. General and administrative expenses were $11.7 million and $6.6 million for the three months ended June</w:t>
      </w:r>
      <w:r>
        <w:rPr>
          <w:rFonts w:ascii="Arial" w:cs="Arial" w:eastAsia="Arial" w:hAnsi="Arial"/>
          <w:sz w:val="18"/>
          <w:szCs w:val="18"/>
          <w:b w:val="1"/>
          <w:bCs w:val="1"/>
          <w:color w:val="auto"/>
        </w:rPr>
        <w:t xml:space="preserve"> </w:t>
      </w:r>
      <w:r>
        <w:rPr>
          <w:rFonts w:ascii="Arial" w:cs="Arial" w:eastAsia="Arial" w:hAnsi="Arial"/>
          <w:sz w:val="18"/>
          <w:szCs w:val="18"/>
          <w:color w:val="auto"/>
        </w:rPr>
        <w:t>30, 2023 and 2022, respectively. The increase of $5.2 million was primarily due to an increase in personnel costs of $0.8 million, including an increase of $0.2 million in share-based compensation expense as a result of continued growth in headcount, an increase of $4.1 million in impairment of right-of-use assets, and an increase of $0.4 million in legal and consulting expenses.</w:t>
      </w:r>
    </w:p>
    <w:p>
      <w:pPr>
        <w:spacing w:after="0" w:line="184" w:lineRule="exact"/>
        <w:rPr>
          <w:sz w:val="20"/>
          <w:szCs w:val="20"/>
          <w:color w:val="auto"/>
        </w:rPr>
      </w:pPr>
    </w:p>
    <w:p>
      <w:pPr>
        <w:ind w:right="340" w:firstLine="509"/>
        <w:spacing w:after="0" w:line="259" w:lineRule="auto"/>
        <w:rPr>
          <w:sz w:val="20"/>
          <w:szCs w:val="20"/>
          <w:color w:val="auto"/>
        </w:rPr>
      </w:pPr>
      <w:r>
        <w:rPr>
          <w:rFonts w:ascii="Arial" w:cs="Arial" w:eastAsia="Arial" w:hAnsi="Arial"/>
          <w:sz w:val="18"/>
          <w:szCs w:val="18"/>
          <w:color w:val="auto"/>
        </w:rPr>
        <w:t>General and administrative expenses were $19.9 million and $13.1 million for the six months ended June 30, 2023 and 2022, respectively. The increase of $6.8 million was primarily due to an increase in personnel costs of $1.9 million, including an increase of $0.6 million in share-based compensation expense as a result of continued growth in headcount, an increase of $4.1 million in impairment of right-of-use assets, and an increase of $1.0 million in legal and consulting expenses.</w:t>
      </w:r>
    </w:p>
    <w:p>
      <w:pPr>
        <w:spacing w:after="0" w:line="18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have incurred and expect to continue to incur additional expenses as a result of being a public company, which we expect will further increase when we no longer qualify as an “emerging growth company” under the JOBS Act. In addition, we have incurred and expect to continue to incur increased expenses related to additional insurance, investor relations and other expenses related to the need for additional human resources and professional services associated with being a public company.</w:t>
      </w:r>
    </w:p>
    <w:p>
      <w:pPr>
        <w:spacing w:after="0" w:line="183" w:lineRule="exact"/>
        <w:rPr>
          <w:sz w:val="20"/>
          <w:szCs w:val="20"/>
          <w:color w:val="auto"/>
        </w:rPr>
      </w:pPr>
    </w:p>
    <w:p>
      <w:pPr>
        <w:ind w:right="460" w:firstLine="509"/>
        <w:spacing w:after="0" w:line="347" w:lineRule="auto"/>
        <w:rPr>
          <w:sz w:val="20"/>
          <w:szCs w:val="20"/>
          <w:color w:val="auto"/>
        </w:rPr>
      </w:pPr>
      <w:r>
        <w:rPr>
          <w:rFonts w:ascii="Arial" w:cs="Arial" w:eastAsia="Arial" w:hAnsi="Arial"/>
          <w:sz w:val="16"/>
          <w:szCs w:val="16"/>
          <w:b w:val="1"/>
          <w:bCs w:val="1"/>
          <w:color w:val="auto"/>
        </w:rPr>
        <w:t>Interest income</w:t>
      </w:r>
      <w:r>
        <w:rPr>
          <w:rFonts w:ascii="Arial" w:cs="Arial" w:eastAsia="Arial" w:hAnsi="Arial"/>
          <w:sz w:val="16"/>
          <w:szCs w:val="16"/>
          <w:color w:val="auto"/>
        </w:rPr>
        <w:t>. Interest income was $3.6 million and $0.7 million for the three months ended June 30, 2023 and 2022, respectively.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was due to interest earned from investments, partially offset by amortization of purchase premiums and accretion of discounts of investments.</w:t>
      </w:r>
    </w:p>
    <w:p>
      <w:pPr>
        <w:spacing w:after="0" w:line="120"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Interest income was $7.0 million and $0.8 million for the six months ended June 30, 2023 and 2022, respectively. Interest income was due to interest earned from investments, partially offset by amortization of purchase premiums and accretion of discounts of investments.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As of June 30, 2023, we had cash, cash equivalents, restricted cash and investments of $302.2 million. In connection with our IPO which closed on July 14, 2020, we received $265.1 million in net proceeds, after deducting underwriting discounts and commissions and other offering expenses. On April 28, 2022, we received $215.3 million in net proceeds, after deducting underwriting discounts, commissions and other offering expenses, in connection with our secondary offering of our common stock.</w:t>
      </w:r>
    </w:p>
    <w:p>
      <w:pPr>
        <w:spacing w:after="0" w:line="187"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On March 17, 2023, we filed a Shelf Registration Statement on Form S-3, as amended by the Form S-3/A filed on April 24, 2023, covering the offer and sale from time to time, pursuant to Rule 415 of the Securities Act, of up to $350.0 million in aggregate offering price of shares of our common stock, shares of our preferred stock, debt securities, warrants, rights and/or units(including up to $120.0 million in aggregate offering price of shares of our common stock, shares of our preferred stock, debt securities, warrants, rights and/or units registered on our Prior Registration Statement, that have not yet been sold. The Shelf Registration Statement was declared effective by the SEC on May 5, 2023.</w:t>
      </w:r>
    </w:p>
    <w:p>
      <w:pPr>
        <w:spacing w:after="0" w:line="176"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The Prior Registration Statement included a prospectus covering the offer and sale from time to time of up to $150.0 million in aggregate offering price of shares of our common stock through the ATM Offering Program with Cowen and Company, LLC, as sales agent. For the six months ended June 30, 2023, no sales of our common stock were made pursuant to the ATM Offering Program.</w:t>
      </w:r>
    </w:p>
    <w:p>
      <w:pPr>
        <w:spacing w:after="0" w:line="184"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We have incurred net losses and negative cash flows from operations since our inception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Furthermore, we expect to incur additional costs associated with operating as a public company, including significant legal, accounting, investor relations and other expenses that we did not incur as a private company.</w:t>
      </w:r>
    </w:p>
    <w:p>
      <w:pPr>
        <w:spacing w:after="0" w:line="17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will need substantial additional funding to support our continuing operations and pursue our long-term development strategy. Until such time as we can generate significant revenue from sales of our drug candidates, if ever, we may seek additional funding through the issuance of our common stock, including through our ATM Offering Program, other equity or debt financing or collaborations or partnerships with other companies. The amount and timing of our future funding requirements will depend on many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right="160"/>
        <w:spacing w:after="0" w:line="257" w:lineRule="auto"/>
        <w:rPr>
          <w:sz w:val="20"/>
          <w:szCs w:val="20"/>
          <w:color w:val="auto"/>
        </w:rPr>
      </w:pPr>
      <w:r>
        <w:rPr>
          <w:rFonts w:ascii="Arial" w:cs="Arial" w:eastAsia="Arial" w:hAnsi="Arial"/>
          <w:sz w:val="18"/>
          <w:szCs w:val="18"/>
          <w:color w:val="auto"/>
        </w:rPr>
        <w:t>factors, including the pace and results of our clinical development efforts for our product candidates and other research, development and manufacturing activities.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spacing w:after="0" w:line="188"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We believe that our current cash, cash equivalents, restricted cash and investments as of June 30, 2023 will be sufficient to meet our cash needs for at least 12 months following the issuance date of this Quarterly Report on Form 10-Q.</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8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(42,531</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33,758</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(110,322 )</w:t>
            </w: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3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216,024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(8,377 )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70,830</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5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509"/>
        <w:spacing w:after="0" w:line="267" w:lineRule="auto"/>
        <w:rPr>
          <w:sz w:val="20"/>
          <w:szCs w:val="20"/>
          <w:color w:val="auto"/>
        </w:rPr>
      </w:pPr>
      <w:r>
        <w:rPr>
          <w:rFonts w:ascii="Arial" w:cs="Arial" w:eastAsia="Arial" w:hAnsi="Arial"/>
          <w:sz w:val="18"/>
          <w:szCs w:val="18"/>
          <w:color w:val="auto"/>
        </w:rPr>
        <w:t>Net cash used in operating activities was $42.5 million and $34.9 million for the six months ended June 30, 2023 and 2022, respectively. The net cash used in operating activities for the six months ended June 30, 2023 was primarily due to our net loss of $64.1 million, adjusted for $21.6 million of net non-cash charges consisting primarily of share-based compensation of $9.4 million, depreciation and amortization of $1.6 million, investment accretion and amortization of $4.5 million, non-cash lease expense of $1.1 million, impairment of right-of-use assets of $4.1 million, and a $9.9 million net change in operating assets and liabilities. The net cash used in operating activities for the six months ended June 30, 2022 was primarily due to our net loss of $52.9 million, adjusted for $12.4 million of net non-cash charges consisting primarily of share-based compensation of $8.0 million, depreciation and amortization of $1.2 million, investment accretion and amortization of $1.1 million, non-cash lease expense of $2.0 million and a $5.7 million net change in operating assets and liabilities.</w:t>
      </w:r>
    </w:p>
    <w:p>
      <w:pPr>
        <w:spacing w:after="0" w:line="29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Net cash provided by investing activities was $33.8 million and net cash used in investing activities was $110.3 million for the six months ended June 30, 2023 and 2022, respectively. The net cash provided by investing activities for the six months ended June 30, 2023 was primarily due to proceeds from sales and maturities of investments of $206.4 million, partially offset by purchases of investments of $157.5 million and purchases of property and equipment of $15.2 million primarily related to the construction of our manufacturing facility. The net cash used in investing activities for the six months ended June 30, 2022 was primarily due to purchases of short-term investments of $175.0 million and purchases of property and equipment of $4.4 million primarily related to the construction of our manufacturing facility, partially offset by proceeds from maturities of short-term investments of $69.1 million.</w:t>
      </w:r>
    </w:p>
    <w:p>
      <w:pPr>
        <w:spacing w:after="0" w:line="27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8"/>
          <w:szCs w:val="18"/>
          <w:color w:val="auto"/>
        </w:rPr>
        <w:t>Net cash provided by financing activities was $0.4 million for the six months ended June 30, 2023, primarily due to the proceeds from the exercise of stock options and proceeds from ESPP purchases. Net cash provided by financing activities was $216.0 million for the six months ended June 30, 2022, primarily due to the proceeds of $215.6 million from our secondary offering, net of issuance costs, and proceeds of $0.4 million from the exercise of stock options.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Based upon our current operating plans, we believe that our existing cash, cash equivalents, restricted cash and investments will be 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20" w:right="20" w:hanging="503"/>
        <w:spacing w:after="0" w:line="308"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type, number, scope, progress, expansions, results, costs and timing of our clinical trials and preclinical studies for our product candidates or other potential product candidates or indications which we are pursuing or may choose to pursue in the future;</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timing and costs of regulatory review of our product candidates;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manufacturing for our product candidates, including commercial manufacturing and the costs associated with building our manufacturing facilities;</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and clinical activities increase;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patients’ willingness or ability to pay out-of-pocket for any approved products in the absence of coverage and/or adequate reimbursement from third-party payors;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including payments required for meeting regulatory and commercial milestones or sales based royalties;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 and other intellectual property rights;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any product candidates, products or technologies that we may in-license or acquire.</w:t>
      </w:r>
    </w:p>
    <w:p>
      <w:pPr>
        <w:spacing w:after="0" w:line="225"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Until such time as we can generate significant revenue from sales of our therapeutic product candidates, if ever, we expect to finance our cash needs through public or private equity, including pursuant to the ATM Offering Program, or debt financings or other capital sources, including potential collaborations, licenses and other similar arrangements. We may be unable to raise additional funds or enter into such other arrangements when 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Material Cash Requirements</w:t>
      </w:r>
    </w:p>
    <w:p>
      <w:pPr>
        <w:spacing w:after="0" w:line="81"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As of June 30, 2023, there have been no material changes from the contractual obligations and commitments previously disclosed in our Annual Report on Form 10-K for the year ended December 31, 2022.</w:t>
      </w:r>
    </w:p>
    <w:p>
      <w:pPr>
        <w:spacing w:after="0" w:line="35"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See Note 6 to our financial statements included elsewhere in this Quarterly Report on Form 10-Q for additional information regarding our lease liability.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contingent assets and liabilities in our financial statements and accompanying notes. On an ongoing basis, we evaluate our estimates and judgments, including those related to preclinical studies and clinical trial accruals, the incremental borrowing rate used in determining the lease liability and right-of-use asset for the Additional Lease Agreement, and share-based compensation.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six months ended June 30, 2023, as compared to the critical accounting policies and estimates disclosed in “Management’s Discussion and Analysis of Financial Condition and Results of Operations” included in our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June 30, 2023 and December 31,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one business activity and operate in one reportable segment.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w:t>
      </w:r>
    </w:p>
    <w:p>
      <w:pPr>
        <w:spacing w:after="0" w:line="17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1"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restricted cash and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June 30, 2023, this change would not have had a material effect on the fair value of our investment portfolio as of that date.</w:t>
      </w:r>
    </w:p>
    <w:p>
      <w:pPr>
        <w:spacing w:after="0" w:line="166"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w:t>
      </w:r>
    </w:p>
    <w:p>
      <w:pPr>
        <w:spacing w:after="0" w:line="184" w:lineRule="exact"/>
        <w:rPr>
          <w:sz w:val="20"/>
          <w:szCs w:val="20"/>
          <w:color w:val="auto"/>
        </w:rPr>
      </w:pPr>
    </w:p>
    <w:p>
      <w:pPr>
        <w:ind w:right="300" w:firstLine="509"/>
        <w:spacing w:after="0" w:line="342" w:lineRule="auto"/>
        <w:rPr>
          <w:sz w:val="20"/>
          <w:szCs w:val="20"/>
          <w:color w:val="auto"/>
        </w:rPr>
      </w:pPr>
      <w:r>
        <w:rPr>
          <w:rFonts w:ascii="Arial" w:cs="Arial" w:eastAsia="Arial" w:hAnsi="Arial"/>
          <w:sz w:val="16"/>
          <w:szCs w:val="16"/>
          <w:color w:val="auto"/>
        </w:rPr>
        <w:t>Inflation generally affects us by increasing labor, commercial support, construction, and research and development contract costs (including manufacturing and clinical supply costs). We do not believe inflation has had a material effect on our results of operations during the periods presented.</w:t>
      </w:r>
    </w:p>
    <w:p>
      <w:pPr>
        <w:spacing w:after="0" w:line="124"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We do not believe that inflation, interest rate changes, or exchange rate fluctuations had a significant impact on our results of operations for any periods presented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and business officer, evaluated the effectiveness of our disclosures controls and procedures, as defined in Rules 13a-15(e) and 15d-15(e) under the Exchange Act, as of June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2023, our chief executive officer and chief financial and business officer concluded that, as of such date, our disclosure controls and procedures were effective at a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80" w:firstLine="509"/>
        <w:spacing w:after="0" w:line="342" w:lineRule="auto"/>
        <w:rPr>
          <w:sz w:val="20"/>
          <w:szCs w:val="20"/>
          <w:color w:val="auto"/>
        </w:rPr>
      </w:pPr>
      <w:r>
        <w:rPr>
          <w:rFonts w:ascii="Arial" w:cs="Arial" w:eastAsia="Arial" w:hAnsi="Arial"/>
          <w:sz w:val="16"/>
          <w:szCs w:val="16"/>
          <w:color w:val="auto"/>
        </w:rPr>
        <w:t>Management determined that, as of June 30, 2023,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2022 and filed with the Securities and Exchange Commission ("SEC") on March 16, 2023 and in our Quarterly Report on Form 10-Q for the quarter ended March 31, 2023 and filed with the SEC on May 11, 2023, are set forth below and are unchanged substantively as of the date of this Quarterly Report on Form 10-Q, except for those risks designated by an asterisk (*).</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may disclose further changes to the factors below or disclose additional factors from time to time in our future filings with the SEC.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do not have any products approved for sale.</w:t>
      </w:r>
    </w:p>
    <w:p>
      <w:pPr>
        <w:spacing w:after="0" w:line="22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are a development-stage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losses since our inception, and we expect to continue to incur significant losses for the foreseeable future.*</w:t>
      </w:r>
    </w:p>
    <w:p>
      <w:pPr>
        <w:spacing w:after="0" w:line="23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Since our inception in 2015, we have incurred significant operating losses. Our net losses were $64.1 million, $113.8 million and $86.1 million for the six months ended June 30, 2023 and the years ended December 31, 2022 and 2021, respectively. Our accumulated deficit was $382.0 million as of June 30, 2023. We expect to continue to incur increasing operating losses for the foreseeable future as we continue to develop our product candidates. In addition, we anticipate that our expenses will increase substantially if, and as, we:</w:t>
      </w:r>
    </w:p>
    <w:p>
      <w:pPr>
        <w:spacing w:after="0" w:line="79"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the clinical development of NKX101 and NKX019;</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additional product candidates to clinical trials, including product candidates under the collaboration with CRISPR Therapeutics AG ("CRISPR");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our current product candidates for additional disease indications;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and qualify our own clinical- and commercial-scale current good manufacturing practice ("cGMP") facilities;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30" w:name="page31"/>
    <w:bookmarkEnd w:id="30"/>
    <w:p>
      <w:pPr>
        <w:ind w:left="1020" w:right="2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 a biologics license application ("BLA") or marketing authorization application, ("MAA") for NKX101 and/or NKX019 and/or seek marketing approvals for any of our other product candidates that successfully complete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regulatory approval of our product candidates in various jurisdictions for commercial sale;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develop or secure marketing, sales and distribution capabilities, either internally or with third parties, to support commercialization; and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 foregoing activities.</w:t>
      </w:r>
    </w:p>
    <w:p>
      <w:pPr>
        <w:spacing w:after="0" w:line="225"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We may never succeed in any or all of these activities and, even if we do, we may never generate revenues that are significant or large enough to achieve profitability.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225"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We continue to incur significant research and development and other expenses related to ongoing operations and the development of our two lead product candidates, NKX101 and NKX019. All of our product candidates will require substantial additional development time and resources before we would be able to apply for or receive regulatory approvals and begin generating revenue from product sales. Neither the United States Food and Drug Administration ("FDA") nor any other regulatory authority has approved NKX101, NKX019 or any of our other product candidates, and we do not anticipate generating revenues from product sales unless and until such time as NKX101,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w:t>
      </w:r>
    </w:p>
    <w:p>
      <w:pPr>
        <w:spacing w:after="0" w:line="69"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completing clinical development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seeking and obtaining regulatory approvals for product candidates for which we successfully complete positive clinical trials, if any;</w:t>
      </w:r>
    </w:p>
    <w:p>
      <w:pPr>
        <w:spacing w:after="0" w:line="128" w:lineRule="exact"/>
        <w:rPr>
          <w:rFonts w:ascii="Arial" w:cs="Arial" w:eastAsia="Arial" w:hAnsi="Arial"/>
          <w:sz w:val="17"/>
          <w:szCs w:val="17"/>
          <w:color w:val="auto"/>
        </w:rPr>
      </w:pPr>
    </w:p>
    <w:p>
      <w:pPr>
        <w:ind w:left="1020" w:right="64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and commercializing product candidates, by establishing a commercial infrastructure or, alternatively, collaborating with a commercialization partner;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7"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maintaining and enhancing a sustainable, scalable, reproducible and transferable manufacturing process for each of our cell therapy product candidates;</w:t>
      </w:r>
    </w:p>
    <w:p>
      <w:pPr>
        <w:spacing w:after="0" w:line="62" w:lineRule="exact"/>
        <w:rPr>
          <w:rFonts w:ascii="Arial" w:cs="Arial" w:eastAsia="Arial" w:hAnsi="Arial"/>
          <w:sz w:val="18"/>
          <w:szCs w:val="18"/>
          <w:color w:val="auto"/>
        </w:rPr>
      </w:pPr>
    </w:p>
    <w:p>
      <w:pPr>
        <w:ind w:left="1020" w:right="260" w:hanging="503"/>
        <w:spacing w:after="0" w:line="342"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products and services, in both amount and quality, to support clinical development and the market demand for our product candidates, if approved;</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a viable clinical option;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1020" w:right="8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know-how, and trademarks;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avoiding and defending against third-party interference or infringement claims;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ind w:right="160" w:firstLine="509"/>
        <w:spacing w:after="0" w:line="311" w:lineRule="auto"/>
        <w:rPr>
          <w:sz w:val="20"/>
          <w:szCs w:val="20"/>
          <w:color w:val="auto"/>
        </w:rPr>
      </w:pPr>
      <w:r>
        <w:rPr>
          <w:rFonts w:ascii="Arial" w:cs="Arial" w:eastAsia="Arial" w:hAnsi="Arial"/>
          <w:sz w:val="16"/>
          <w:szCs w:val="16"/>
          <w:color w:val="auto"/>
        </w:rPr>
        <w:t>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w:t>
      </w:r>
    </w:p>
    <w:p>
      <w:pPr>
        <w:spacing w:after="0" w:line="2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require additional capital, which, if available, may cause dilution to our stockholders, restrict our operations or require us to relinquish rights to our product candidates.*</w:t>
      </w:r>
    </w:p>
    <w:p>
      <w:pPr>
        <w:spacing w:after="0" w:line="170"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have financed our operations primarily through private placements of our preferred stock, proceeds from our previous collaboration with GlaxoSmithKline, proceeds from our initial public offering ("IPO") completed in July 2020, proceeds from our underwritten public offering of our common stock completed in April 2022 (the "Secondary Offering"), and our "at the market" equity offering program (the "ATM Offering Program"). We intend to continue to use the proceeds from our IPO and our Secondary Offering to, among other uses, advance NKX101 and NKX019 through clinical development. Developing pharmaceutical products and conducting preclinical studies and clinical trials is expensive. As of June 30, 2023, we had cash, cash equivalents, restricted cash and investments of $302.2 million. Our research and development expenses increased from $63.4 million for the year ended December 31, 2021 to $90.9 million for the year ended December 31, 2022 and increased from $40.6 million for the six months ended June 30, 2022 to $51.3 million for the six months ended June 30, 2023.</w:t>
      </w:r>
    </w:p>
    <w:p>
      <w:pPr>
        <w:spacing w:after="0" w:line="178"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Until and unless we can generate substantial product revenue, we expect to finance our cash needs through the proceeds from our IPO and Secondary Offering, a combination of equity offerings and debt financings, including pursuant to our ATM Offering Program, and potentially through additional license and development agreements or strategic partnerships with third parties. Financing may not be available in sufficient amounts or on reasonable terms. In addition, market volatility resulting from the ongoing conflict in Ukraine, rising inflation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p>
    <w:p>
      <w:pPr>
        <w:spacing w:after="0" w:line="182"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4"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significantly curtail or stop one or more of our research or development programs.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the success of our CAR NK cell technology platform.</w:t>
      </w:r>
    </w:p>
    <w:p>
      <w:pPr>
        <w:spacing w:after="0" w:line="22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success depends on our ability to utilize our chimeric antigen receptor-natural killer cell ("CAR NK") technology platform to generate product candidates, to obtain regulatory approval for product candidates derived from it, and to then commercialize our product candidates addressing one or more indications. Phase 1 clinical trials to evaluate our first two CAR NK product candidates in humans are ongoing. All of our product candidates developed from our technology platform will require significant additional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 engineering technology.</w:t>
      </w:r>
    </w:p>
    <w:p>
      <w:pPr>
        <w:spacing w:after="0" w:line="28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Utilizing CAR NK cells represents a novel approach to the treatment of cancer, and we must overcome significant challenges in order to develop, commercialize and manufacture our product candidates.</w:t>
      </w:r>
    </w:p>
    <w:p>
      <w:pPr>
        <w:spacing w:after="0" w:line="170"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We have concentrated our research and development efforts on utilizing CAR NK cells as an immuno-oncology therapy. To date, the FDA has approved only a few cell-based therapies for commercialization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 platform product candidates are novel, and cell-based therapies are relatively new, regulatory agencies may lack precedents for evaluating product candidates like our CAR NK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 platform product candidates.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advancing novel immuno-oncology therapies creates significant challenges for us, including:</w:t>
      </w:r>
    </w:p>
    <w:p>
      <w:pPr>
        <w:spacing w:after="0" w:line="117"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enrolling sufficient numbers of patients in clinical trials;</w:t>
      </w:r>
    </w:p>
    <w:p>
      <w:pPr>
        <w:spacing w:after="0" w:line="117"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training a sufficient number of medical personnel on how to properly thaw and administer our cells, especially in any solid tumor trial wherein the cells are given through a procedure by trained medical doctors;</w:t>
      </w:r>
    </w:p>
    <w:p>
      <w:pPr>
        <w:spacing w:after="0" w:line="62"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training a sufficient number of medical and clinical laboratory personnel in the proper collection and handling of clinical samples in our clinical trials to enable a sufficient understanding of CAR NK pharmacokinetics and pharmacodynamics for the design of an optimal dosing regimen;</w:t>
      </w:r>
    </w:p>
    <w:p>
      <w:pPr>
        <w:spacing w:after="0" w:line="75"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side-effect profile of our cells and, as the clinical program progresses, on observed side effects with the therapy;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 reliable and safe and an effective means of genetically modifying our cells;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and cryopreservation our cells on a large scale and in a cost-effective manner;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sourcing starting material suitable for clinical and commercial manufacturing; and</w:t>
      </w:r>
    </w:p>
    <w:p>
      <w:pPr>
        <w:spacing w:after="0" w:line="117"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sales and marketing capabilities, as well as developing a manufacturing process and distribution network to support the commercialization of any approved products.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must be able to overcome these challenges in order for us to develop, commercialize and manufacture our product candidates utilizing CAR NK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cells.</w:t>
      </w:r>
    </w:p>
    <w:p>
      <w:pPr>
        <w:spacing w:after="0" w:line="31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spacing w:after="0" w:line="124"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Current clinical experience with NK cell therapy is predominantly based on cells from haplomatched donors, i.e., at least half of the major Human Leukocyte Antigen ("HLA") types matched between donor and recipient. Our ongoing NKX101 Phase 1 clinical trial evaluated product manufactured from patient specific haplo-related donors and completely unrelated donors (used off the shelf).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ind w:right="20"/>
        <w:spacing w:after="0" w:line="275" w:lineRule="auto"/>
        <w:rPr>
          <w:sz w:val="20"/>
          <w:szCs w:val="20"/>
          <w:color w:val="auto"/>
        </w:rPr>
      </w:pPr>
      <w:r>
        <w:rPr>
          <w:rFonts w:ascii="Arial" w:cs="Arial" w:eastAsia="Arial" w:hAnsi="Arial"/>
          <w:sz w:val="17"/>
          <w:szCs w:val="17"/>
          <w:color w:val="auto"/>
        </w:rPr>
        <w:t>Based on preliminary clinical results, we have moved forward into expansion cohorts and further development of NKX101 using off the shelf product only. There is a risk that the early clinical results may not be reflective of future clinical trial results which may require us to re-evaluate HLA matching. If it becomes apparent through future preclinical testing or clinical trials that such matching is required, the production of NKX101, NKX019, and our other product candidates as standardized, off-the-shelf products for all patients will not be achievable. Instead, we would need to establish an alternative approach for each of our product candidates to achieve coverage of the addressable patient population.</w:t>
      </w:r>
    </w:p>
    <w:p>
      <w:pPr>
        <w:spacing w:after="0" w:line="176"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Furthermore, the killer immunoglobulin-like receptor ("KIR") is found on the surface of NK cells and recognizes certain HLA types. If there is a match between KIR and the HLA type, KIR acts as a natural inhibitor of NK activity, thereby serving to prevent immune reactions against an individual’s own cells. In both NKX101 and NKX019 Phase 1 clinical trials, product is administered regardless of specific KIR phenotype. As we continue our clinical trials, we may discover that retaining a KIR mismatch is required to achieve clinically meaningful activity, and we may need to factor KIR mismatch into the donor and product selection process for patients enrolled in our clinical trials. We also continue to analyze for donor characteristics that correlate with clinical activity and we may decide to select for donors to enhance activity of our products in the clinic.</w:t>
      </w:r>
    </w:p>
    <w:p>
      <w:pPr>
        <w:spacing w:after="0" w:line="17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addition, tumors are sometimes able to evade detection by naturally occurring NK cells by shedding the NKG2D ligands found on malignant cells. While NKX101 has been engineered to resist this shedding mechanism, there can be no guarantee that tumor cells will not retain or regain the ability to shed NKG2D ligand completely despite the presence of NKX101, which would give such tumors a degree of resistance against NKX101. If we discover that tumors develop a resistance to NKX101 as a result of such NKG2D ligand shedding, we will need to reengineer NKX101 to counteract this effect, or we may need to change or abandon our development efforts for NKX101.</w:t>
      </w:r>
    </w:p>
    <w:p>
      <w:pPr>
        <w:spacing w:after="0" w:line="188"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Finally, there is limited history of CAR NK cells manufacturing for clinical use, and our understanding of NK cell biology is continuously expanding. If we find that our current manufacturing processes are inadequate, or should we identify opportunities for material improvement, adaptation of process improvements may require significant periods of time. Process improvements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w:t>
      </w:r>
    </w:p>
    <w:p>
      <w:pPr>
        <w:spacing w:after="0" w:line="16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foregoing processes would require us to redesign the clinical protocols and clinical trials for our product candidates and could require significant additional time and resources to complete and the participation of a significant number of additional clinical trial participants and donors, any of which would delay the clinical development of our product candidates and their eventual commercialization.</w:t>
      </w:r>
    </w:p>
    <w:p>
      <w:pPr>
        <w:spacing w:after="0" w:line="2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we may encounter substantial delays due to a variety of reasons outside our control.</w:t>
      </w:r>
    </w:p>
    <w:p>
      <w:pPr>
        <w:spacing w:after="0" w:line="170"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subjects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w:t>
      </w:r>
    </w:p>
    <w:p>
      <w:pPr>
        <w:spacing w:after="0" w:line="19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w:t>
      </w:r>
    </w:p>
    <w:p>
      <w:pPr>
        <w:spacing w:after="0" w:line="76"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obtaining regulatory approval to commence a clinical trial;</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clinical trial sites or CROs, the terms of which can be subject to extensive negotiation and may vary significantly among different trial sites and CROs;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 w:name="page35"/>
    <w:bookmarkEnd w:id="34"/>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recruit sufficient patients for our clinical trials in a timely manner or at all;</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achieving a sufficient number of clinical trial sites or obtaining the required institutional review board ("IRB"), approval at each clinical trial site;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us or by the FDA or other regulatory agencies based on emerging data;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obtain long-term follow-up data due to patient drop out or in cases where patients elect to receive post-protocol treatment for their disease before it progresses;</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suspension or termination of a clinical trial by the IRB of the institutions in which such trials are being conducted or by the Data Safety Monitoring Board ("DSMB") (where applicable);</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clinical trials, or production delays, shutdowns or setbacks at any of our contract manufacturers;</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due to additional regulatory, site and clinical trial participant approvals required if a product candidate, especially a product candidate custom manufactured for a specific patient, does not meet the required specifications;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the design or implementation of our clinical trials;</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 or guidance that may require us to amend or submit new clinical protocols, or such requirements may not be as we anticipate;</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standard of care or treatment landscape on which a clinical development plan was based, which may require new or additional trials;</w:t>
      </w:r>
    </w:p>
    <w:p>
      <w:pPr>
        <w:spacing w:after="0" w:line="62" w:lineRule="exact"/>
        <w:rPr>
          <w:rFonts w:ascii="Arial" w:cs="Arial" w:eastAsia="Arial" w:hAnsi="Arial"/>
          <w:sz w:val="18"/>
          <w:szCs w:val="18"/>
          <w:color w:val="auto"/>
        </w:rPr>
      </w:pPr>
    </w:p>
    <w:p>
      <w:pPr>
        <w:jc w:val="both"/>
        <w:ind w:left="1020" w:right="160" w:hanging="503"/>
        <w:spacing w:after="0" w:line="286"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insufficient quantities or inadequate quality of our product candidates or other materials necessary to conduct preclinical studies or clinical trials of our product candidates, including potential limitations to the availability of agents such as fludarabine, cyclophosphamide, or other agents administered to patients prior to treatment or in combination with our product candidates;</w:t>
      </w:r>
    </w:p>
    <w:p>
      <w:pPr>
        <w:spacing w:after="0" w:line="57" w:lineRule="exact"/>
        <w:rPr>
          <w:rFonts w:ascii="Arial" w:cs="Arial" w:eastAsia="Arial" w:hAnsi="Arial"/>
          <w:sz w:val="17"/>
          <w:szCs w:val="17"/>
          <w:color w:val="auto"/>
        </w:rPr>
      </w:pPr>
    </w:p>
    <w:p>
      <w:pPr>
        <w:ind w:left="1020" w:right="1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62"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enrolled patients in foreign countries to adhere to clinical protocol as a result of differences in healthcare services or cultural customs, or additional administrative burdens associated with foreign regulatory schemes; or</w:t>
      </w:r>
    </w:p>
    <w:p>
      <w:pPr>
        <w:spacing w:after="0" w:line="62" w:lineRule="exact"/>
        <w:rPr>
          <w:rFonts w:ascii="Arial" w:cs="Arial" w:eastAsia="Arial" w:hAnsi="Arial"/>
          <w:sz w:val="18"/>
          <w:szCs w:val="18"/>
          <w:color w:val="auto"/>
        </w:rPr>
      </w:pPr>
    </w:p>
    <w:p>
      <w:pPr>
        <w:ind w:left="1020" w:right="24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w:t>
      </w:r>
    </w:p>
    <w:p>
      <w:pPr>
        <w:spacing w:after="0" w:line="184"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In addition, disruptions caused by or related to the COVID-19 pandemic or other health epidemic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future waves of the COVID-19 pandemic or other health epidemics, then we may experience delays in obtaining periodic advice which may affect our ability to move our clinical programs forward into the next phase of development.</w:t>
      </w:r>
    </w:p>
    <w:p>
      <w:pPr>
        <w:spacing w:after="0" w:line="19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ind w:right="20" w:firstLine="509"/>
        <w:spacing w:after="0" w:line="255" w:lineRule="auto"/>
        <w:rPr>
          <w:sz w:val="20"/>
          <w:szCs w:val="20"/>
          <w:color w:val="auto"/>
        </w:rPr>
      </w:pPr>
      <w:r>
        <w:rPr>
          <w:rFonts w:ascii="Arial" w:cs="Arial" w:eastAsia="Arial" w:hAnsi="Arial"/>
          <w:sz w:val="18"/>
          <w:szCs w:val="18"/>
          <w:color w:val="auto"/>
        </w:rPr>
        <w:t>As regulatory expectations regarding the genome editing of cellular therapies continue to evolve with data emerging on chromosomal abnormalities from CAR T therapies or other sources, our pipeline programs that involve gene-edited cells, including an allogeneic, off-the-shelf CAR NK product candidate targeting the CD70 tumor antigen ("NKX070") and an allogeneic, off-the-shelf product candidate that comprises both engineered NK cells and engineered T cells ("NK+T"), which we are collaborating with CRISPR on could be impacted. For example, the FDA may require additional or new release assays for manufactured lots of any product candidates that have been gene edited, which, as a result, could slow development of our gene-edited product candidates and increase expenses.</w:t>
      </w:r>
    </w:p>
    <w:p>
      <w:pPr>
        <w:spacing w:after="0" w:line="192"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In addition, the FDA’s and other regulatory authorities’ policies with respect to clinical trials may change and additional government regulations may be enacted. For example, passed in December 2022, the Food and Drug Omnibus Reform Act ("FDORA") requires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If we are slow or unable to adapt to changes in existing requirements or the adoption of new requirements or policies governing clinical trials, our development plans may be impacted.</w:t>
      </w:r>
    </w:p>
    <w:p>
      <w:pPr>
        <w:spacing w:after="0" w:line="17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If we experience further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w:t>
      </w:r>
    </w:p>
    <w:p>
      <w:pPr>
        <w:spacing w:after="0" w:line="279"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Our business is highly dependent on the clinical success of our product candidates, and on the clinical success of NKX101 and NKX019 in particular, and we may fail to develop NKX101, NKX019 and/or our other product candidates successfully or be unable to obtain regulatory approval for them.*</w:t>
      </w:r>
    </w:p>
    <w:p>
      <w:pPr>
        <w:spacing w:after="0" w:line="100"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cannot guarantee that NKX101 and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NKX101 and NKX019, or any of our other product candidates, will be successful in clinical trials or receive regulatory approval. The FDA, and other comparable global regulatory authorities can delay, limit or deny approval of a product candidate for many reasons. For further details about such reasons, see “—</w:t>
      </w:r>
      <w:r>
        <w:rPr>
          <w:rFonts w:ascii="Arial" w:cs="Arial" w:eastAsia="Arial" w:hAnsi="Arial"/>
          <w:sz w:val="16"/>
          <w:szCs w:val="16"/>
          <w:i w:val="1"/>
          <w:iCs w:val="1"/>
          <w:color w:val="auto"/>
        </w:rPr>
        <w:t>Clinical development involves a lengthy and expensive process with an</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 outcome, and we may encounter substantial delays due to a variety of reasons outside our control.</w:t>
      </w:r>
      <w:r>
        <w:rPr>
          <w:rFonts w:ascii="Arial" w:cs="Arial" w:eastAsia="Arial" w:hAnsi="Arial"/>
          <w:sz w:val="16"/>
          <w:szCs w:val="16"/>
          <w:color w:val="auto"/>
        </w:rPr>
        <w:t>” Any delay in obtaining, or inability to obtain,</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regulatory approval will delay or harm our ability to successfully commercialize NKX101, NKX019, or any of our other product candidates, and could materially adversely affect our business, financial condition, results of operations and growth prospects.</w:t>
      </w:r>
    </w:p>
    <w:p>
      <w:pPr>
        <w:spacing w:after="0" w:line="166"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NKX101 is in an early-stage clinical trial and is subject to the risks inherent in drug development. In June 2023, we announced interim data from the dose-escalation portion of the multi-center Phase 1 clinical trial of NKX101 for the treatment of relapsed or refractory acute myeloid leukemia ("r/r AML") or higher risk myelodysplastic syndromes ("MDS"). If the ongoing Phase 1 or our later clinical trials of NKX101 encounter concerning safety signals, efficacy concerns, manufacturing problems, enrollment issues, development delays, regulatory issues, or other problems, our development plans for NKX101 could be significantly impaired, which could materially adversely affect our business, financial condition, results of operations and growth prospects.</w:t>
      </w:r>
    </w:p>
    <w:p>
      <w:pPr>
        <w:spacing w:after="0" w:line="192"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We may also develop NKX101 for additional indications if we are able to obtain clinical proof-of-concept from our NKX101 Phase 1 trial for blood cancers including r/r AML and MDS. We may not be able to advance any of these indications through the development process. Even if we receive regulatory approval to market NKX101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will be limited.</w:t>
      </w:r>
    </w:p>
    <w:p>
      <w:pPr>
        <w:spacing w:after="0" w:line="176"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Furthermore, the potential development of NKX101 for treating solid tumors would be subject to a number of risks related to use of cell therapies in general including a hostile tumor microenvironment and trafficking to tumor site. The development of treatments to treat solid tumors often requires larger and more expensive clinical trials than for treating blood cancers.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firstLine="509"/>
        <w:spacing w:after="0" w:line="286" w:lineRule="auto"/>
        <w:rPr>
          <w:sz w:val="20"/>
          <w:szCs w:val="20"/>
          <w:color w:val="auto"/>
        </w:rPr>
      </w:pPr>
      <w:r>
        <w:rPr>
          <w:rFonts w:ascii="Arial" w:cs="Arial" w:eastAsia="Arial" w:hAnsi="Arial"/>
          <w:sz w:val="16"/>
          <w:szCs w:val="16"/>
          <w:color w:val="auto"/>
        </w:rPr>
        <w:t>NKX019 is also an early-stage clinical trial and subject to the risks inherent in drug development. In December 2022, we announced interim data from the dose-escalation portion of the multi-center Phase 1 clinical trial of NKX019 for the treatment of B-cell malignancies. The dose-expansion portion of the Phase 1 study is ongoing. NKX019 is being investigated in dose-expansion cohorts as a combination therapy with rituximab, as well as a monotherapy, in both patients with large B-cell lymphoma ("LBCL") who have previously received autologous CD19 CAR T-cell therapy and those who have not. Due to the commercial availability of multiple therapeutic agents that target CD19, as well as others that are in various stages of development, we have had increasing difficulty, and may continue to have increased difficulty, enrolling subjects into our NKX019 trial who have not previously been exposed to a CD19-directed cellular therapy. This has impacted the ability to obtain data about NKX019 activity in certain patient populations and slowed enrollment. If we are unable to enroll sufficient numbers of patients who have not previously received CD19 CAR T-cell therapy in our current or future NKX019 clinical trials in a timely manner, the clinical development and subsequent commercialization of NKX019 for treatment of those patient populations may be delayed or may not be possible at all. 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 Furthermore, because NKX101 and NKX019 are our most advanced product candidates, and because our other product candidates are based on similar technology, if our clinical trials of NKX101 or NKX019 experience any of the foregoing issues, our development plans for our other product candidates in our pipeline could also be significantly impaired, which could materially adversely affect our business, financial condition, results of operations and growth prospects.</w:t>
      </w:r>
    </w:p>
    <w:p>
      <w:pPr>
        <w:spacing w:after="0" w:line="16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We may also choose to develop NKX019 for additional indications beyond B-cell malignancies. We may not be able to advance any of these indications through the development process. Even if we receive regulatory approval to market NKX019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NKX019 for these additional indications, our commercial opportunity will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We intend to develop our product candidates both as monotherapy and potentially as combination therapy, a common form of cancer treatment,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w:t>
      </w:r>
    </w:p>
    <w:p>
      <w:pPr>
        <w:spacing w:after="0" w:line="161"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w:t>
      </w:r>
    </w:p>
    <w:p>
      <w:pPr>
        <w:spacing w:after="0" w:line="26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170"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w:t>
      </w:r>
    </w:p>
    <w:p>
      <w:pPr>
        <w:spacing w:after="0" w:line="79"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open clinical trial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design and eligibility criteria of the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proximity of subjects to clinical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medical practice patterns or guidelines related to the indications we are investigating;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competing clinical trials or approved therapies which present an attractive alternative to patients and their physicians;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 w:name="page38"/>
    <w:bookmarkEnd w:id="37"/>
    <w:p>
      <w:pPr>
        <w:ind w:left="1020" w:right="28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 including as a result of adverse effects observed in similar or competing therapies;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due to various reasons;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that enrolled subjects will drop out or die before completion of the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failing to complete a clinical trial or returning for post-treatment follow-up;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manufacture the requisite supply of our product candidates for a patient and clinical trials; and</w:t>
      </w:r>
    </w:p>
    <w:p>
      <w:pPr>
        <w:spacing w:after="0" w:line="117" w:lineRule="exact"/>
        <w:rPr>
          <w:rFonts w:ascii="Arial" w:cs="Arial" w:eastAsia="Arial" w:hAnsi="Arial"/>
          <w:sz w:val="18"/>
          <w:szCs w:val="18"/>
          <w:color w:val="auto"/>
        </w:rPr>
      </w:pPr>
    </w:p>
    <w:p>
      <w:pPr>
        <w:ind w:left="1020" w:right="16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failure or any delay by us or by our clinical sites to obtain sufficient quantities of components and supplies necessary for the conduct of our clinical trials, including any inability to obtain agents such as cyclophosphamide, fludarabine, or other agents administered to patients prior to treatment or in combination with our product candidates.</w:t>
      </w:r>
    </w:p>
    <w:p>
      <w:pPr>
        <w:spacing w:after="0" w:line="184"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need to compete with many ongoing clinical trials and approved therapies to recruit patients into our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For example, due to the commercial availability of multiple therapeutic agents that target CD19, as well as others that are in various stages of development, we have had increasing difficulty in our NKX019 clinical trial and may continue to have increased difficulty in our current or future NKX019 clinical trials, enrolling subjects who have not previously been exposed to a CD19-directed cellular therapy. Since the number of qualified clinical investigators is limited, we may conduct some of our clinical trials at the same clinical trial sites that some of our competitors use, which will reduce the number of patients who are available for our clinical trials at such clinical trial site. If we are unable to enroll a sufficient number of patients in our clinical trials in a timely manner, our completion of clinical trials may be delayed or may not be achieved, which would prevent us from further developing or commercializing our product candidates in certain patient subpopulations or at all.</w:t>
      </w:r>
    </w:p>
    <w:p>
      <w:pPr>
        <w:spacing w:after="0" w:line="16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clinical development of our product candidates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w:t>
      </w:r>
    </w:p>
    <w:p>
      <w:pPr>
        <w:spacing w:after="0" w:line="18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The clinical development of our product candidates also depends on the availability of a sufficient supply of certain other materials and agents used in our clinical trials. For example, certain of our clinical trial protocols require the use of fludarabine and cyclophosphamide, agents which are routinely used in oncology studies, and which we use in certain of our clinical trial protocols to condition patients for treatment with our product candidates. Further, we may develop certain of our product candidates as a combination therapy with other cancer therapies, which would require the availability and use of those therapeutic agents in certain of our clinical trial protocols. Recently, the FDA reported a shortage of fludarabine, and it is uncertain how long the fludarabine shortage may last. Certain of our clinical trial sites have reported that they are experiencing a shortage of fludarabine, which has resulted in some enrollment delays. Any failure or delays by us or by our clinical sites to obtain sufficient quantities of fludarabine or other components and agents necessary for the conduct of our clinical trials, may delay our ability to enroll and treat patients in, or complete, our current or future clinical trials of our product candidates on time, if at all.</w:t>
      </w:r>
    </w:p>
    <w:p>
      <w:pPr>
        <w:spacing w:after="0" w:line="18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If we are unable to enroll a sufficient number of patients in our clinical trials in a timely manner, our completion of clinical trials may be delayed or may not be achieved, which would prevent us from further developing or commercializing our product candidates</w:t>
      </w:r>
    </w:p>
    <w:p>
      <w:pPr>
        <w:spacing w:after="0" w:line="2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170"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In order to obtain FDA or other regulatory authority approval to market a new biological product we must demonstrate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began clinical development for our first product candidate, NKX101, in 2020 and our second product candidate, NKX019, in 2021, and the rest of our programs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ind w:right="80" w:firstLine="509"/>
        <w:spacing w:after="0" w:line="279" w:lineRule="auto"/>
        <w:rPr>
          <w:sz w:val="20"/>
          <w:szCs w:val="20"/>
          <w:color w:val="auto"/>
        </w:rPr>
      </w:pPr>
      <w:r>
        <w:rPr>
          <w:rFonts w:ascii="Arial" w:cs="Arial" w:eastAsia="Arial" w:hAnsi="Arial"/>
          <w:sz w:val="17"/>
          <w:szCs w:val="17"/>
          <w:color w:val="auto"/>
        </w:rPr>
        <w:t>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w:t>
      </w:r>
    </w:p>
    <w:p>
      <w:pPr>
        <w:spacing w:after="0" w:line="63"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generate sufficient preclinical or other in vivo or in vitro data to support the initiation of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acceptable clinical trial design or manufacturing process; and</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not allowing us to rely on previous findings of safety and efficacy for other similar but approved products and published scientific literature.</w:t>
      </w:r>
    </w:p>
    <w:p>
      <w:pPr>
        <w:spacing w:after="0" w:line="170"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w:t>
      </w:r>
    </w:p>
    <w:p>
      <w:pPr>
        <w:spacing w:after="0" w:line="2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r>
        <w:rPr>
          <w:rFonts w:ascii="Arial" w:cs="Arial" w:eastAsia="Arial" w:hAnsi="Arial"/>
          <w:sz w:val="18"/>
          <w:szCs w:val="18"/>
          <w:b w:val="1"/>
          <w:bCs w:val="1"/>
          <w:color w:val="auto"/>
        </w:rPr>
        <w:t>.*</w:t>
      </w:r>
    </w:p>
    <w:p>
      <w:pPr>
        <w:spacing w:after="0" w:line="18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w:t>
      </w:r>
    </w:p>
    <w:p>
      <w:pPr>
        <w:spacing w:after="0" w:line="18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including the preliminary Phase 1 clinical data for NKX101 and NKX019 reported in April 2022, updated Phase 1 clinical data for NKX019 reported in December 2022, and updated Phase 1 clinical data for NKX101 reported in June 2023, may differ from, and may not be indicative of,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spacing w:after="0" w:line="182"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spacing w:after="0" w:line="2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any of our product candidates, or any competing product candidates, demonstrate relevant, serious adverse events, we may be required to halt or delay further clinical development.*</w:t>
      </w:r>
    </w:p>
    <w:p>
      <w:pPr>
        <w:spacing w:after="0" w:line="170"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right="60" w:firstLine="509"/>
        <w:spacing w:after="0" w:line="269" w:lineRule="auto"/>
        <w:rPr>
          <w:sz w:val="20"/>
          <w:szCs w:val="20"/>
          <w:color w:val="auto"/>
        </w:rPr>
      </w:pPr>
      <w:r>
        <w:rPr>
          <w:rFonts w:ascii="Arial" w:cs="Arial" w:eastAsia="Arial" w:hAnsi="Arial"/>
          <w:sz w:val="17"/>
          <w:szCs w:val="17"/>
          <w:color w:val="auto"/>
        </w:rPr>
        <w:t>Updated interim data from our NKX101 Phase 1 clinical trial were reported in June 2023, and updated data from the dose-escalation portion of our NKX019 Phase 1 clinical trial were reported in December 2022. The most common higher-grade (Grade ≥3) adverse events in the interim data reported for patients with r/r AML in the NKX101 Phase 1 clinical trial were myelosuppression – a condition resulting in fewer red blood cells, white blood cells and platelets, as well as infections such as sepsis and pneumonia, occasionally requiring supplementary oxygen, which are common in the treated patient population after lymphodepleting conditioning ("LD"). The interim data from the NKX101 clinical trial indicated that adverse events experienced by certain patients with r/r AML included infusion reactions, cytokine release syndrome ("CRS"), and one case of immune effector cell-associated neurotoxicity (in each case, ≤grade 2). The most common higher-grade (Grade ≥3) adverse events in the interim data reported for the NKX019 Phase 1 clinical trial were myelosuppression, which is common in the treated patient population after LD. In the dose-escalation phase of the NKX019 Phase 1 clinical trial, certain patients experienced adverse events including transient fevers and infusion-related reactions. Three patients in the NKX019 dose-escalation study were assessed to have cytokine release syndrome ("CRS"), despite the rapid onset and rapid resolution, not consistent with previously described presentations of CRS with CAR T cell therapies.</w:t>
      </w:r>
    </w:p>
    <w:p>
      <w:pPr>
        <w:spacing w:after="0" w:line="182" w:lineRule="exact"/>
        <w:rPr>
          <w:sz w:val="20"/>
          <w:szCs w:val="20"/>
          <w:color w:val="auto"/>
        </w:rPr>
      </w:pPr>
    </w:p>
    <w:p>
      <w:pPr>
        <w:jc w:val="both"/>
        <w:ind w:right="80" w:firstLine="509"/>
        <w:spacing w:after="0" w:line="287" w:lineRule="auto"/>
        <w:rPr>
          <w:sz w:val="20"/>
          <w:szCs w:val="20"/>
          <w:color w:val="auto"/>
        </w:rPr>
      </w:pPr>
      <w:r>
        <w:rPr>
          <w:rFonts w:ascii="Arial" w:cs="Arial" w:eastAsia="Arial" w:hAnsi="Arial"/>
          <w:sz w:val="16"/>
          <w:szCs w:val="16"/>
          <w:color w:val="auto"/>
        </w:rPr>
        <w:t>While the interim data reported from our NKX101 and NKX019 Phase 1 clinical trials indicate that NK cell-based therapies may be better-tolerated as compared to T cell-based therapies due to biologic differences between these cell types, there can be no assurance that patients will not experience CRS, neurotoxicity, Graft-versus-host disease ("GvHD"), or other serious adverse events associated with our specific product candidates NKX101 or NKX019.</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NKX101 targets NKG2D ligands, which is not yet a well-characterized modality. NKG2D targets multiple ligands, and the extent and impact of ligand expression is currently not fully characterized. For example, there are risks that ligands may be expressed on either known or an as-yet-underappreciated population of healthy cells. Therefore, such cells may also be targeted by NKX101 and lead to adverse events of unknown frequency and severity as well as potentially decreased efficacy. Such adverse events may cause delays in completion of our clinical programs.</w:t>
      </w:r>
    </w:p>
    <w:p>
      <w:pPr>
        <w:spacing w:after="0" w:line="176" w:lineRule="exact"/>
        <w:rPr>
          <w:sz w:val="20"/>
          <w:szCs w:val="20"/>
          <w:color w:val="auto"/>
        </w:rPr>
      </w:pPr>
    </w:p>
    <w:p>
      <w:pPr>
        <w:ind w:right="200" w:firstLine="509"/>
        <w:spacing w:after="0" w:line="273" w:lineRule="auto"/>
        <w:rPr>
          <w:sz w:val="20"/>
          <w:szCs w:val="20"/>
          <w:color w:val="auto"/>
        </w:rPr>
      </w:pPr>
      <w:r>
        <w:rPr>
          <w:rFonts w:ascii="Arial" w:cs="Arial" w:eastAsia="Arial" w:hAnsi="Arial"/>
          <w:sz w:val="17"/>
          <w:szCs w:val="17"/>
          <w:color w:val="auto"/>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spacing w:after="0" w:line="28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w:t>
      </w:r>
    </w:p>
    <w:p>
      <w:pPr>
        <w:spacing w:after="0" w:line="184" w:lineRule="exact"/>
        <w:rPr>
          <w:sz w:val="20"/>
          <w:szCs w:val="20"/>
          <w:color w:val="auto"/>
        </w:rPr>
      </w:pPr>
    </w:p>
    <w:p>
      <w:pPr>
        <w:jc w:val="both"/>
        <w:ind w:right="600" w:firstLine="509"/>
        <w:spacing w:after="0" w:line="263" w:lineRule="auto"/>
        <w:rPr>
          <w:sz w:val="20"/>
          <w:szCs w:val="20"/>
          <w:color w:val="auto"/>
        </w:rPr>
      </w:pPr>
      <w:r>
        <w:rPr>
          <w:rFonts w:ascii="Arial" w:cs="Arial" w:eastAsia="Arial" w:hAnsi="Arial"/>
          <w:sz w:val="18"/>
          <w:szCs w:val="18"/>
          <w:color w:val="auto"/>
        </w:rPr>
        <w:t>The COVID-19 pandemic and preventative measures taken to mitigate the impact of the pandemic disrupted economic activity and business operations worldwide, including the San Francisco Bay Area, where our primary operations are located. The emergence of another health epidemic, including future outbreaks of COVID-19 variants, could result in similar disruptions.</w:t>
      </w:r>
    </w:p>
    <w:p>
      <w:pPr>
        <w:spacing w:after="0" w:line="143"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Our operations, as well as the operations of some of our contract research organizations ("CROs"), contract development and manufacturing organizations ("CDMOs"), and clinical trial sites, were impacted by the COVID-19 pandemic and may in the future be similarly impacted by further outbreaks of COVID-19 variants or other health epidemics. For example, we experienced some delays in construction of our cGMP manufacturing facilities and in our internal research efforts as a result of the COVID-19 pandemic. COVID-19 also caused global supply shortages of certain materials that we and our CDMOs use for research and cGMP manufacturing. Due to the COVID-19 pandemic, some of our CROs experienced employee turnover/attrition, delays, or disruptions and some of our clinical trial sites had to temporarily restrict enrollment into clinical protocols. Supply chain and operational disruptions due to COVID-19 contributed to certain enrollment delays and delays in setting up certain clinical sites in our clinical trials.</w:t>
      </w:r>
    </w:p>
    <w:p>
      <w:pPr>
        <w:spacing w:after="0" w:line="139" w:lineRule="exact"/>
        <w:rPr>
          <w:sz w:val="20"/>
          <w:szCs w:val="20"/>
          <w:color w:val="auto"/>
        </w:rPr>
      </w:pPr>
    </w:p>
    <w:p>
      <w:pPr>
        <w:jc w:val="both"/>
        <w:ind w:right="460" w:firstLine="509"/>
        <w:spacing w:after="0" w:line="259" w:lineRule="auto"/>
        <w:rPr>
          <w:sz w:val="20"/>
          <w:szCs w:val="20"/>
          <w:color w:val="auto"/>
        </w:rPr>
      </w:pPr>
      <w:r>
        <w:rPr>
          <w:rFonts w:ascii="Arial" w:cs="Arial" w:eastAsia="Arial" w:hAnsi="Arial"/>
          <w:sz w:val="18"/>
          <w:szCs w:val="18"/>
          <w:color w:val="auto"/>
        </w:rPr>
        <w:t>The COVID-19 pandemic also impacted, and further COVID-19 outbreaks or other health epidemics may impact in the future, the regulatory authorities to which we are subject in our industry, which may, in turn, hamper or delay our clinical development efforts. For instance, the COVID-19 pandemic resulted in a significant increase in the FDA workload, as well as the need to reprioritize the projects under review, and future outbreaks of COVID-19 or other epidemics may do so again in the future.</w:t>
      </w:r>
    </w:p>
    <w:p>
      <w:pPr>
        <w:spacing w:after="0" w:line="187" w:lineRule="exact"/>
        <w:rPr>
          <w:sz w:val="20"/>
          <w:szCs w:val="20"/>
          <w:color w:val="auto"/>
        </w:rPr>
      </w:pPr>
    </w:p>
    <w:p>
      <w:pPr>
        <w:ind w:right="500" w:firstLine="509"/>
        <w:spacing w:after="0" w:line="259" w:lineRule="auto"/>
        <w:rPr>
          <w:sz w:val="20"/>
          <w:szCs w:val="20"/>
          <w:color w:val="auto"/>
        </w:rPr>
      </w:pPr>
      <w:r>
        <w:rPr>
          <w:rFonts w:ascii="Arial" w:cs="Arial" w:eastAsia="Arial" w:hAnsi="Arial"/>
          <w:sz w:val="18"/>
          <w:szCs w:val="18"/>
          <w:color w:val="auto"/>
        </w:rPr>
        <w:t>We cannot predict the potential future impacts of further outbreaks of COVID-19, including its variants, or the emergence of another health epidemic on us, our research partners, including CRISPR, and other third parties with whom we conduct business. As a result of a further COVID-19 outbreak or other pandemic, epidemic or outbreak of an infectious disease, we may experience disruptions that could severely impact our business, preclinical studies and clinical trials, including:</w:t>
      </w:r>
    </w:p>
    <w:p>
      <w:pPr>
        <w:spacing w:after="0" w:line="79" w:lineRule="exact"/>
        <w:rPr>
          <w:sz w:val="20"/>
          <w:szCs w:val="20"/>
          <w:color w:val="auto"/>
        </w:rPr>
      </w:pPr>
    </w:p>
    <w:p>
      <w:pPr>
        <w:jc w:val="center"/>
        <w:ind w:left="5540" w:right="1380" w:hanging="5023"/>
        <w:spacing w:after="0" w:line="527" w:lineRule="auto"/>
        <w:tabs>
          <w:tab w:leader="none" w:pos="10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including our ongoing NKX101 and NKX019 clinical trials;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or difficulties in clinical site initiation, including difficulties in recruiting and training clinical site investigators and clinical site staff;</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in recruitment of key personnel;</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jc w:val="both"/>
        <w:ind w:left="1020" w:right="6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75" w:lineRule="exact"/>
        <w:rPr>
          <w:rFonts w:ascii="Arial" w:cs="Arial" w:eastAsia="Arial" w:hAnsi="Arial"/>
          <w:sz w:val="18"/>
          <w:szCs w:val="18"/>
          <w:color w:val="auto"/>
        </w:rPr>
      </w:pPr>
    </w:p>
    <w:p>
      <w:pPr>
        <w:ind w:left="1020" w:right="660" w:hanging="503"/>
        <w:spacing w:after="0" w:line="308"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interruption or delays in the operations of the FDA or other regulatory authorities, which may impact review and approval timelines, including the review of Investigational New Drug ("IND") or other regulatory submissions for our product candidates;</w:t>
      </w:r>
    </w:p>
    <w:p>
      <w:pPr>
        <w:spacing w:after="0" w:line="38" w:lineRule="exact"/>
        <w:rPr>
          <w:rFonts w:ascii="Arial" w:cs="Arial" w:eastAsia="Arial" w:hAnsi="Arial"/>
          <w:sz w:val="17"/>
          <w:szCs w:val="17"/>
          <w:color w:val="auto"/>
        </w:rPr>
      </w:pPr>
    </w:p>
    <w:p>
      <w:pPr>
        <w:jc w:val="both"/>
        <w:ind w:left="1020" w:right="20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w:t>
      </w:r>
    </w:p>
    <w:p>
      <w:pPr>
        <w:spacing w:after="0" w:line="75" w:lineRule="exact"/>
        <w:rPr>
          <w:rFonts w:ascii="Arial" w:cs="Arial" w:eastAsia="Arial" w:hAnsi="Arial"/>
          <w:sz w:val="18"/>
          <w:szCs w:val="18"/>
          <w:color w:val="auto"/>
        </w:rPr>
      </w:pPr>
    </w:p>
    <w:p>
      <w:pPr>
        <w:ind w:left="1020" w:right="180" w:hanging="503"/>
        <w:spacing w:after="0" w:line="342"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interruption of, or delays in manufacture of our product candidates, including at our in-house manufacturing facility and CDMOs, due to staffing shortages, production slowdowns and disruptions or inability to procure critical raw materials or other supplies in a timely fashion;</w:t>
      </w:r>
    </w:p>
    <w:p>
      <w:pPr>
        <w:spacing w:after="0" w:line="15" w:lineRule="exact"/>
        <w:rPr>
          <w:rFonts w:ascii="Arial" w:cs="Arial" w:eastAsia="Arial" w:hAnsi="Arial"/>
          <w:sz w:val="16"/>
          <w:szCs w:val="16"/>
          <w:color w:val="auto"/>
        </w:rPr>
      </w:pPr>
    </w:p>
    <w:p>
      <w:pPr>
        <w:ind w:left="1020" w:right="3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disruptions in the planning, construction or qualification of our cGMP facility for commercial-scale manufacture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interruptions, or delays in receiving supplies and materials necessary for our business operations, and research and development activities;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cost of services or supplies necessary for our research and development activities;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 or delays to our discovery and clinical activities.</w:t>
      </w:r>
    </w:p>
    <w:p>
      <w:pPr>
        <w:spacing w:after="0" w:line="225"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On May 11, 2023, the U.S. public health emergency declaration related to COVID-19 ("PHE Declaration") ended. On March 13, 2023, the FDA issued a Federal Register notice indicating that certain of the agency’s COVID-19 related guidance is being revised to continue in effect after expiration of the PHE Declaration. It remains unclear how, if at all, these developments will impact our efforts to develop and commercialize our product candidates.</w:t>
      </w:r>
    </w:p>
    <w:p>
      <w:pPr>
        <w:spacing w:after="0" w:line="149"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The extent of any delays or impacts due to further COVID-19 outbreaks or similar health epidemics, or government regulations in response to such outbreaks or epidemics, will depend on future developments that are highly uncertain and cannot be predicted with confidence, but these delays could have a material impact on our business, financial condition, and/or results of operations.</w:t>
      </w:r>
    </w:p>
    <w:p>
      <w:pPr>
        <w:spacing w:after="0" w:line="292"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b w:val="1"/>
          <w:bCs w:val="1"/>
          <w:i w:val="1"/>
          <w:iCs w:val="1"/>
          <w:color w:val="auto"/>
        </w:rPr>
        <w:t>We may seek special designations by the regulatory authorities to expedite regulatory approvals, but may not be successful in receiving such designations, and even if received, they may not benefit the development and regulatory approval process.</w:t>
      </w:r>
    </w:p>
    <w:p>
      <w:pPr>
        <w:spacing w:after="0" w:line="146"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Where possible, we plan to pursue accelerated development strategies in areas of high unmet need. We may seek an accelerated approval pathway for one or more of our product candidates from the FDA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the accelerated approval program,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clinical trials to verify and describe the drug’s clinical benefit. If such post-approval clinical trials fail to confirm the drug’s clinical benefit, the FDA may withdraw its approval of the drug.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ind w:right="20" w:firstLine="509"/>
        <w:spacing w:after="0" w:line="268" w:lineRule="auto"/>
        <w:rPr>
          <w:sz w:val="20"/>
          <w:szCs w:val="20"/>
          <w:color w:val="auto"/>
        </w:rPr>
      </w:pPr>
      <w:r>
        <w:rPr>
          <w:rFonts w:ascii="Arial" w:cs="Arial" w:eastAsia="Arial" w:hAnsi="Arial"/>
          <w:sz w:val="17"/>
          <w:szCs w:val="17"/>
          <w:color w:val="auto"/>
        </w:rPr>
        <w:t>We may seek approval from the FDA or comparable regulatory authorities through the use of another expedited approval program, such as Regenerative Medicine Advanced Therapy ("RMAT") designation, Breakthrough Therapy designation, Fast Track designation, or PRIority MEdicine ("PRIME"), from regulatory authorities, for certain product candidates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w:t>
      </w:r>
    </w:p>
    <w:p>
      <w:pPr>
        <w:spacing w:after="0" w:line="186"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Seeking and obtaining these designations is dependent upon results of our clinical program, and we cannot guarantee whether and when we may have the data from our clinical programs to support an application to obtain any such designation. Prior to submitting a Biologics License Application (BLA), we may seek feedback from the FDA or comparable foreign regulatory authorities and will otherwise evaluate our ability to receive accelerated approval. There can be no assurance that after our evaluation of the feedback and other factors we will decide to pursue a Biologics License Application (BLA) for accelerated approval or any other form of expedited development, review or approval. Similarly, there can be no assurance that after subsequent feedback from the FDA, EMA or comparable foreign regulatory authorities, we will continue to pursue accelerated approval or any other form of expedited development, review or approval, even if we initially decide to do so. Furthermore, if we decide to submit an application for a an expedited regulatory designation (e.g., Fast Track designation or Breakthrough Therapy designation), there can be no assurance that such submission or application will be granted or that any expedited development, review or approval will be granted on a timely basis, or at all.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The FDA, EMA or other comparable foreign regulatory authorities could also require us to conduct further clinical trials prior to considering to file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Furthermore,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w:t>
      </w:r>
    </w:p>
    <w:p>
      <w:pPr>
        <w:spacing w:after="0" w:line="174"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In addition, changes in regulatory frameworks may impact our clinical development programs. For instance, the recent enactment of FDORA introduces reforms intending to expand the FDA’s ability to regulate products receiving accelerated approval. Pursuant to FDORA, the FDA is authorized to require a post-approval study to be underway prior to approval in addition to being completed within a specified time period following approval. FDORA also requires the FDA to specify the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Additionally, FDORA increased the FDA’s oversight of confirmatory trials and created a formal procedure to withdraw products approved through accelerated approval on an expedited basis for non-compliance with post-approval requirements. In March 2023, the FDA issued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It is unclear how these proposals, future policy changes, and changes in FDA regulation will impact our clinical development programs.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ind w:right="200"/>
        <w:spacing w:after="0" w:line="277" w:lineRule="auto"/>
        <w:rPr>
          <w:sz w:val="20"/>
          <w:szCs w:val="20"/>
          <w:color w:val="auto"/>
        </w:rPr>
      </w:pPr>
      <w:r>
        <w:rPr>
          <w:rFonts w:ascii="Arial" w:cs="Arial" w:eastAsia="Arial" w:hAnsi="Arial"/>
          <w:sz w:val="18"/>
          <w:szCs w:val="18"/>
          <w:b w:val="1"/>
          <w:bCs w:val="1"/>
          <w:i w:val="1"/>
          <w:iCs w:val="1"/>
          <w:color w:val="auto"/>
        </w:rPr>
        <w:t>We may seek and obtain orphan drug designation for our product candidates, and we may be unsuccessful or may be unable to maintain the benefits associated with orphan drug designation, including the potential for market exclusivity.</w:t>
      </w:r>
    </w:p>
    <w:p>
      <w:pPr>
        <w:spacing w:after="0" w:line="170"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spacing w:after="0" w:line="195"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65"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76"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there is no guarantee that we will enjoy the benefits of those designations.</w:t>
      </w:r>
    </w:p>
    <w:p>
      <w:pPr>
        <w:spacing w:after="0" w:line="2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Public opinion and scrutiny of cell-based immuno-oncology therapies for treating cancer may impact public perception of our company and product candidates, or impair our ability to conduct our business.</w:t>
      </w:r>
    </w:p>
    <w:p>
      <w:pPr>
        <w:spacing w:after="0" w:line="170"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(iPSCs), and negative results from those therapies may affect perception of NK 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ind w:right="480"/>
        <w:spacing w:after="0" w:line="277" w:lineRule="auto"/>
        <w:rPr>
          <w:sz w:val="20"/>
          <w:szCs w:val="20"/>
          <w:color w:val="auto"/>
        </w:rPr>
      </w:pPr>
      <w:r>
        <w:rPr>
          <w:rFonts w:ascii="Arial" w:cs="Arial" w:eastAsia="Arial" w:hAnsi="Arial"/>
          <w:sz w:val="18"/>
          <w:szCs w:val="18"/>
          <w:b w:val="1"/>
          <w:bCs w:val="1"/>
          <w:i w:val="1"/>
          <w:iCs w:val="1"/>
          <w:color w:val="auto"/>
        </w:rPr>
        <w:t>We may not identify or discover other product candidates and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Our business depends upon our ability to identify, develop and commercialize product candidates. A key element of our strategy is to discover and develop additional product candidates based upon our NK 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targets for different cancers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w:t>
      </w:r>
    </w:p>
    <w:p>
      <w:pPr>
        <w:spacing w:after="0" w:line="87"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research methodology or technology platform used may not be successful in identifying potential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choose to cease development if we determine that clinical results do not show promise;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Because we have limited resources, we must choose to pursue and fund the development of specific types of treatment, or treatment for a specific type of cancer,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7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w:t>
      </w:r>
    </w:p>
    <w:p>
      <w:pPr>
        <w:spacing w:after="0" w:line="27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spacing w:after="0" w:line="124"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We do not have the ability to independently conduct clinical trials. We rely on medical institutions, clinical investigators, contract laboratories, and other third parties, such as CROs to conduct or otherwise support clinical trials for our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firstLine="509"/>
        <w:spacing w:after="0" w:line="286" w:lineRule="auto"/>
        <w:rPr>
          <w:sz w:val="20"/>
          <w:szCs w:val="20"/>
          <w:color w:val="auto"/>
        </w:rPr>
      </w:pPr>
      <w:r>
        <w:rPr>
          <w:rFonts w:ascii="Arial" w:cs="Arial" w:eastAsia="Arial" w:hAnsi="Arial"/>
          <w:sz w:val="16"/>
          <w:szCs w:val="16"/>
          <w:color w:val="auto"/>
        </w:rPr>
        <w:t>We and the third parties on which we rely for clinical trials are required to comply with regulations and requirements, including good clinical practices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do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The COVID-19 pandemic and government measures taken in response have also had a significant impact on our CROs, and we expect that they will face further disruption, which may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71"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Although we intend to design the clinical trials for our product candidates, we plan to rely on third parties to conduct our clinical trials.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0"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w:t>
      </w:r>
    </w:p>
    <w:p>
      <w:pPr>
        <w:spacing w:after="0" w:line="165"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3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pharmaceutical or biotechnology collaborations on commercially reasonable terms, or at all, we may have to alter our development and commercialization plans.</w:t>
      </w:r>
    </w:p>
    <w:p>
      <w:pPr>
        <w:spacing w:after="0" w:line="170" w:lineRule="exact"/>
        <w:rPr>
          <w:sz w:val="20"/>
          <w:szCs w:val="20"/>
          <w:color w:val="auto"/>
        </w:rPr>
      </w:pPr>
    </w:p>
    <w:p>
      <w:pPr>
        <w:jc w:val="both"/>
        <w:ind w:right="420" w:firstLine="509"/>
        <w:spacing w:after="0" w:line="296" w:lineRule="auto"/>
        <w:rPr>
          <w:sz w:val="20"/>
          <w:szCs w:val="20"/>
          <w:color w:val="auto"/>
        </w:rPr>
      </w:pPr>
      <w:r>
        <w:rPr>
          <w:rFonts w:ascii="Arial" w:cs="Arial" w:eastAsia="Arial" w:hAnsi="Arial"/>
          <w:sz w:val="16"/>
          <w:szCs w:val="16"/>
          <w:color w:val="auto"/>
        </w:rPr>
        <w:t>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 w:name="page46"/>
    <w:bookmarkEnd w:id="45"/>
    <w:p>
      <w:pPr>
        <w:ind w:right="20" w:firstLine="509"/>
        <w:spacing w:after="0" w:line="286"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282" w:lineRule="exact"/>
        <w:rPr>
          <w:sz w:val="20"/>
          <w:szCs w:val="20"/>
          <w:color w:val="auto"/>
        </w:rPr>
      </w:pPr>
    </w:p>
    <w:p>
      <w:pPr>
        <w:jc w:val="both"/>
        <w:ind w:right="400"/>
        <w:spacing w:after="0" w:line="340" w:lineRule="auto"/>
        <w:rPr>
          <w:sz w:val="20"/>
          <w:szCs w:val="20"/>
          <w:color w:val="auto"/>
        </w:rPr>
      </w:pPr>
      <w:r>
        <w:rPr>
          <w:rFonts w:ascii="Arial" w:cs="Arial" w:eastAsia="Arial" w:hAnsi="Arial"/>
          <w:sz w:val="15"/>
          <w:szCs w:val="15"/>
          <w:b w:val="1"/>
          <w:bCs w:val="1"/>
          <w:i w:val="1"/>
          <w:iCs w:val="1"/>
          <w:color w:val="auto"/>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131"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spacing w:after="0" w:line="161"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In May 2021, we entered into a Research Collaboration Agreement with CRISPR (as amended, the "CRISPR Agreement") to establish research plans for the purpose of collaboratively designing and advancing up to two (2) allogeneic, gene-edited NK cell therapies and one (1) allogeneic, gene-edited NK+T cell therapy for use in the treatment of oncology, autoimmune disease, or infectious disease up to the filing of an application to a regulatory authority to request the ability to start a clinical trial. The first product candidate being developed in partnership with CRISPR is NKX070, and together with CRISPR, we may advance NKX070 for the treatment of solid tumors and blood cancers. The second product candidate being developed in partnership with CRISPR is NK+T. Additionally, under the CRISPR Agreement, CRISPR will also grant non-exclusive licenses to us on up to five gene-editing targets to enable us to independently research, develop and commercialize NK cell therapies that have been gene-edited using CRISPR’s gene-editing technology. In May 2022, we amended the CRISPR Agreement to revise the transfer of materials and nomination provisions. On March 8, 2023, the CRISPR Agreement was further amended to permit Nkarta's advancement of CRISPR-licensed product candidates targeting a specified tumor antigen (the "Specified TA") and incorporate associated development and regulatory approval milestones and sales based royalties.</w:t>
      </w:r>
    </w:p>
    <w:p>
      <w:pPr>
        <w:spacing w:after="0" w:line="168"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If CRISPR, or any potential future collaboration partner, does not perform in the manner that we expect or fulfill their responsibilities in a timely manner or at all, the research, clinical development, regulatory approval and commercialization efforts related to the product candidates that are the subject of the collaboration with CRISPR, or that potential future collaboration partner, could be delayed or terminated. 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Whenever we enter into collaborations with third parties, we could face the following risks:</w:t>
      </w:r>
    </w:p>
    <w:p>
      <w:pPr>
        <w:spacing w:after="0" w:line="117" w:lineRule="exact"/>
        <w:rPr>
          <w:sz w:val="20"/>
          <w:szCs w:val="20"/>
          <w:color w:val="auto"/>
        </w:rPr>
      </w:pPr>
    </w:p>
    <w:p>
      <w:pPr>
        <w:jc w:val="center"/>
        <w:ind w:left="5540" w:right="1260" w:hanging="5023"/>
        <w:spacing w:after="0" w:line="527" w:lineRule="auto"/>
        <w:tabs>
          <w:tab w:leader="none" w:pos="10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 w:name="page47"/>
    <w:bookmarkEnd w:id="46"/>
    <w:p>
      <w:pPr>
        <w:ind w:left="1020" w:right="1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and processes that compete directly or indirectly with our products or product candidates;</w:t>
      </w:r>
    </w:p>
    <w:p>
      <w:pPr>
        <w:spacing w:after="0" w:line="62" w:lineRule="exact"/>
        <w:rPr>
          <w:rFonts w:ascii="Arial" w:cs="Arial" w:eastAsia="Arial" w:hAnsi="Arial"/>
          <w:sz w:val="18"/>
          <w:szCs w:val="18"/>
          <w:color w:val="auto"/>
        </w:rPr>
      </w:pPr>
    </w:p>
    <w:p>
      <w:pPr>
        <w:ind w:left="1020" w:right="200" w:hanging="503"/>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75"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1020" w:right="160" w:hanging="503"/>
        <w:spacing w:after="0" w:line="308"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collaboration agreements may restrict our right to independently pursue new product candidates.</w:t>
      </w:r>
    </w:p>
    <w:p>
      <w:pPr>
        <w:spacing w:after="0" w:line="225"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If conflicts arise between our collaborators and us, including CRISPR, our collaborators may act in a manner adverse to us and could limit our ability to implement our strategies. CRISPR or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191" w:lineRule="exact"/>
        <w:rPr>
          <w:sz w:val="20"/>
          <w:szCs w:val="20"/>
          <w:color w:val="auto"/>
        </w:rPr>
      </w:pPr>
    </w:p>
    <w:p>
      <w:pPr>
        <w:ind w:right="360" w:firstLine="509"/>
        <w:spacing w:after="0" w:line="311" w:lineRule="auto"/>
        <w:rPr>
          <w:sz w:val="20"/>
          <w:szCs w:val="20"/>
          <w:color w:val="auto"/>
        </w:rPr>
      </w:pPr>
      <w:r>
        <w:rPr>
          <w:rFonts w:ascii="Arial" w:cs="Arial" w:eastAsia="Arial" w:hAnsi="Arial"/>
          <w:sz w:val="16"/>
          <w:szCs w:val="16"/>
          <w:color w:val="auto"/>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spacing w:after="0" w:line="2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170"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 candidates that we may seek to develop or commercialize in the future. For example, the autologous cell therapies Kymriah</w:t>
      </w:r>
      <w:r>
        <w:rPr>
          <w:rFonts w:ascii="Arial" w:cs="Arial" w:eastAsia="Arial" w:hAnsi="Arial"/>
          <w:sz w:val="21"/>
          <w:szCs w:val="21"/>
          <w:color w:val="auto"/>
          <w:vertAlign w:val="superscript"/>
        </w:rPr>
        <w:t>®</w:t>
      </w:r>
      <w:r>
        <w:rPr>
          <w:rFonts w:ascii="Arial" w:cs="Arial" w:eastAsia="Arial" w:hAnsi="Arial"/>
          <w:sz w:val="16"/>
          <w:szCs w:val="16"/>
          <w:color w:val="auto"/>
        </w:rPr>
        <w:t>, Yescarta</w:t>
      </w:r>
      <w:r>
        <w:rPr>
          <w:rFonts w:ascii="Arial" w:cs="Arial" w:eastAsia="Arial" w:hAnsi="Arial"/>
          <w:sz w:val="21"/>
          <w:szCs w:val="21"/>
          <w:color w:val="auto"/>
          <w:vertAlign w:val="superscript"/>
        </w:rPr>
        <w:t>®</w:t>
      </w:r>
      <w:r>
        <w:rPr>
          <w:rFonts w:ascii="Arial" w:cs="Arial" w:eastAsia="Arial" w:hAnsi="Arial"/>
          <w:sz w:val="16"/>
          <w:szCs w:val="16"/>
          <w:color w:val="auto"/>
        </w:rPr>
        <w:t>, Tecartus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Breyanzi</w:t>
      </w:r>
      <w:r>
        <w:rPr>
          <w:rFonts w:ascii="Arial" w:cs="Arial" w:eastAsia="Arial" w:hAnsi="Arial"/>
          <w:sz w:val="21"/>
          <w:szCs w:val="21"/>
          <w:color w:val="auto"/>
          <w:vertAlign w:val="superscript"/>
        </w:rPr>
        <w:t>®</w:t>
      </w:r>
      <w:r>
        <w:rPr>
          <w:rFonts w:ascii="Arial" w:cs="Arial" w:eastAsia="Arial" w:hAnsi="Arial"/>
          <w:sz w:val="16"/>
          <w:szCs w:val="16"/>
          <w:color w:val="auto"/>
        </w:rPr>
        <w:t>, which have been commercially approved, are direct competitors to our product candidate NKX019. In addition, other competitors, including biopharmaceutical companies, have clinical-stage or earlier stage allogenic programs, and a number of other companies are seeking to harness NK biology through engagers that seek to direct a patient’s own NK cells to the site of a tumor or are investigating other types of immune cells. Other biopharmaceutical companies are developing bi-specific antibodies, which are also direct competitors to NKX019. Numerous academic institutions are also conducting preclinical and clinical research in these areas, as well as with other white blood cell types including NKT cells and gamma-delta T cells. It is also possible that new competitors, including those developing similar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increase the size of our organization, and we may experience difficulties in managing growth.*</w:t>
      </w:r>
    </w:p>
    <w:p>
      <w:pPr>
        <w:spacing w:after="0" w:line="225"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As of June 30, 2023, we had 169 full-time employees. We will need to continue to expand our managerial, operational, clinical, quality, human resources, legal, manufacturing, supply chain, finance, commercial and other resources in order to manage our operations and clinical trials, continue our development activities and eventually commercialize our product candidates. Our management and personnel, systems and facilities currently in place may not be adequate to support this future growth. Our need to effectively execute our growth strategy requires that we: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both"/>
        <w:ind w:left="1020" w:right="100" w:hanging="503"/>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recruit, retain, incentivize and integrate additional employees;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into additional office and laboratory space as we grow our employee base;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manage our in-house clinical cGMP manufacturing facility and establish and validate our commercial cGMP manufacturing facility; and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reports systems and procedures.</w:t>
      </w:r>
    </w:p>
    <w:p>
      <w:pPr>
        <w:spacing w:after="0" w:line="225" w:lineRule="exact"/>
        <w:rPr>
          <w:sz w:val="20"/>
          <w:szCs w:val="20"/>
          <w:color w:val="auto"/>
        </w:rPr>
      </w:pPr>
    </w:p>
    <w:p>
      <w:pPr>
        <w:ind w:right="120" w:firstLine="509"/>
        <w:spacing w:after="0" w:line="342" w:lineRule="auto"/>
        <w:rPr>
          <w:sz w:val="20"/>
          <w:szCs w:val="20"/>
          <w:color w:val="auto"/>
        </w:rPr>
      </w:pPr>
      <w:r>
        <w:rPr>
          <w:rFonts w:ascii="Arial" w:cs="Arial" w:eastAsia="Arial" w:hAnsi="Arial"/>
          <w:sz w:val="16"/>
          <w:szCs w:val="16"/>
          <w:color w:val="auto"/>
        </w:rPr>
        <w:t>If we are unable to attract skilled employees, increase the size of our organization or manage our future growth effectively, it will impair our ability to execute our business strategy and our business, financial condition, results of operations and growth prospects will be materially adversely affected.</w:t>
      </w:r>
    </w:p>
    <w:p>
      <w:pPr>
        <w:spacing w:after="0" w:line="23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senior management, clinical, and key scientific personnel, we may be unable to successfully develop our product candidates, conduct our clinical trials and commercialize our product candidates.</w:t>
      </w:r>
    </w:p>
    <w:p>
      <w:pPr>
        <w:spacing w:after="0" w:line="170"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spacing w:after="0" w:line="188"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170" w:lineRule="exact"/>
        <w:rPr>
          <w:sz w:val="20"/>
          <w:szCs w:val="20"/>
          <w:color w:val="auto"/>
        </w:rPr>
      </w:pPr>
    </w:p>
    <w:p>
      <w:pPr>
        <w:ind w:right="200" w:firstLine="509"/>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p>
      <w:pPr>
        <w:spacing w:after="0" w:line="41"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any product candidate that we may develop;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insurance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that we may develop;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such outcomes could materially adversely affect our business, financial condition, results of operations and growth prospects.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i w:val="1"/>
          <w:iCs w:val="1"/>
          <w:color w:val="auto"/>
        </w:rPr>
        <w:t>Our insurance policies may be inadequate, may not cover all of our potential liabilities and may potentially expose us to unrecoverable risks.</w:t>
      </w:r>
    </w:p>
    <w:p>
      <w:pPr>
        <w:spacing w:after="0" w:line="248"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spacing w:after="0" w:line="192"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w:t>
      </w:r>
    </w:p>
    <w:p>
      <w:pPr>
        <w:spacing w:after="0" w:line="2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70"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w:t>
      </w:r>
    </w:p>
    <w:p>
      <w:pPr>
        <w:spacing w:after="0" w:line="18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impacted by the failure to address emerging environmental, social, and corporate governance matters.</w:t>
      </w:r>
    </w:p>
    <w:p>
      <w:pPr>
        <w:spacing w:after="0" w:line="23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There is an increasing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perceived to not be adequately addressing these matters, which could negatively impact our reputation and our business. Moreover,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and may also result in disclosures that could have a negative impact on investor perception. In addition, we currently do not report our environmental emissions, and our lack of reporting could result in certain investors declining to invest in our common stock.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100"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and viral vector is generally higher than traditional small-molecule chemical compounds or biologics, and the manufacturing process is presently less reliable and more difficult to reproduce.</w:t>
      </w:r>
    </w:p>
    <w:p>
      <w:pPr>
        <w:spacing w:after="0" w:line="195" w:lineRule="exact"/>
        <w:rPr>
          <w:sz w:val="20"/>
          <w:szCs w:val="20"/>
          <w:color w:val="auto"/>
        </w:rPr>
      </w:pPr>
    </w:p>
    <w:p>
      <w:pPr>
        <w:ind w:right="200" w:firstLine="509"/>
        <w:spacing w:after="0" w:line="296" w:lineRule="auto"/>
        <w:rPr>
          <w:sz w:val="20"/>
          <w:szCs w:val="20"/>
          <w:color w:val="auto"/>
        </w:rPr>
      </w:pPr>
      <w:r>
        <w:rPr>
          <w:rFonts w:ascii="Arial" w:cs="Arial" w:eastAsia="Arial" w:hAnsi="Arial"/>
          <w:sz w:val="16"/>
          <w:szCs w:val="16"/>
          <w:color w:val="auto"/>
        </w:rPr>
        <w:t>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w:t>
      </w:r>
    </w:p>
    <w:p>
      <w:pPr>
        <w:spacing w:after="0" w:line="16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w:t>
      </w:r>
    </w:p>
    <w:p>
      <w:pPr>
        <w:spacing w:after="0" w:line="192"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 in the clinical trial. If the required additional approvals cannot be obtained, additional delays may occur as manufacturing would need to be restarted, enrollment may be delayed, and/or patients may be unable to remain in the study. Any delay in the clinical development or commercialization of NKX101, NKX019, or our other product candidates could materially adversely affect our business, financial condition, results of operations and growth prospects.</w:t>
      </w:r>
    </w:p>
    <w:p>
      <w:pPr>
        <w:spacing w:after="0" w:line="164"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We may make changes to our manufacturing process at various points during development, and even after commercialization, for various reasons, such as to control costs, achieve scale, decrease processing time, increase manufacturing success rate or for other reasons.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Changes to our process made during the course of clinical development could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ind w:firstLine="509"/>
        <w:spacing w:after="0" w:line="284" w:lineRule="auto"/>
        <w:rPr>
          <w:sz w:val="20"/>
          <w:szCs w:val="20"/>
          <w:color w:val="auto"/>
        </w:rPr>
      </w:pPr>
      <w:r>
        <w:rPr>
          <w:rFonts w:ascii="Arial" w:cs="Arial" w:eastAsia="Arial" w:hAnsi="Arial"/>
          <w:sz w:val="16"/>
          <w:szCs w:val="16"/>
          <w:color w:val="auto"/>
        </w:rPr>
        <w:t>Although we are manufacturing NKX019 in our own internal manufacturing facility for the NKX019 Phase 1 clinical trial, and plan to manufacture other product candidates, including NKX101, in our internal manufacturing facilities in the future, we may encounter problems with the internal production of our product candidates. We believe our current clinical cGMP manufacturing facility will supply our anticipated non-pivotal clinical trial needs, but if the dose and number of cycles needed increases, our current manufacturing process may not be able to support the enrollment of trials which could lead to delays until we scale up the manufacturing. Although we have an internal cGMP manufacturing facility for the production of certain of our product candidates for our early-stage clinical trials, we do not yet have a cGMP facility for the commercial-scale manufacture of our product candidates. We are currently building a commercial-scale cGMP manufacturing facility. Building and maintaining a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outbreaks of COVID-19 variants or other epidemics and related restrictions could impact our ability to properly staff production of our product candidates. We experienced delays in the construction of our cGMP manufacturing facilities due to the COVID-19 pandemic and current macroeconomic conditions and may in the future experience similar delays due to future COVID-19 or other epidemic outbreaks. Current inflationary pressures are negatively affecting and could continue to negatively affect the costs of constructing our commercial-scale manufacturing facility. Global supply chain disruptions, including procurement delays and long lead times on certain materials, have adversely impacted and could continue to adversely impact the scheduled completion and/or costs of constructing our commercial-scale manufacturing facility.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spacing w:after="0" w:line="290" w:lineRule="exact"/>
        <w:rPr>
          <w:sz w:val="20"/>
          <w:szCs w:val="20"/>
          <w:color w:val="auto"/>
        </w:rPr>
      </w:pPr>
    </w:p>
    <w:p>
      <w:pPr>
        <w:ind w:right="260"/>
        <w:spacing w:after="0" w:line="340" w:lineRule="auto"/>
        <w:rPr>
          <w:sz w:val="20"/>
          <w:szCs w:val="20"/>
          <w:color w:val="auto"/>
        </w:rPr>
      </w:pPr>
      <w:r>
        <w:rPr>
          <w:rFonts w:ascii="Arial" w:cs="Arial" w:eastAsia="Arial" w:hAnsi="Arial"/>
          <w:sz w:val="15"/>
          <w:szCs w:val="15"/>
          <w:b w:val="1"/>
          <w:bCs w:val="1"/>
          <w:i w:val="1"/>
          <w:iCs w:val="1"/>
          <w:color w:val="auto"/>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spacing w:after="0" w:line="13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Although we are building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build, maintain and staff our own commercial-scale cGMP facility, we will need to rely on third parties for commercial-scale manufacture of our product candidates.</w:t>
      </w:r>
    </w:p>
    <w:p>
      <w:pPr>
        <w:spacing w:after="0" w:line="176"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Also, although we currently manufacture our clinical supply of NKX019 at our own cGMP facility and intend to manufacture our clinical supply of NKX101 at our own cGMP facility in 2023, we currently outsource manufacturing of certain critical materials necessary for production of our product candidates, including NKSTIM and viral vectors. Even though we have established our own internal cGMP facility for clinical supply of certain product candidates, and even if we successfully establish our own cGMP manufacturing facility for manufacture of our product candidates on a commercial scale, we will continue to outsource manufacturing of certain materials necessary for production of our product candidates. If we are unable to outsource the manufacturing of these materials or our established third-party manufacturers delay delivery of or fail to provide certain materials as needed for the production of our product candidates, then the production of our clinical or commercial supply may be impacted. We compete with other companies for access to third party cGMP facilities and cannot assure continued access.</w:t>
      </w:r>
    </w:p>
    <w:p>
      <w:pPr>
        <w:spacing w:after="0" w:line="178" w:lineRule="exact"/>
        <w:rPr>
          <w:sz w:val="20"/>
          <w:szCs w:val="20"/>
          <w:color w:val="auto"/>
        </w:rPr>
      </w:pPr>
    </w:p>
    <w:p>
      <w:pPr>
        <w:ind w:right="240" w:firstLine="509"/>
        <w:spacing w:after="0" w:line="273" w:lineRule="auto"/>
        <w:rPr>
          <w:sz w:val="20"/>
          <w:szCs w:val="20"/>
          <w:color w:val="auto"/>
        </w:rPr>
      </w:pPr>
      <w:r>
        <w:rPr>
          <w:rFonts w:ascii="Arial" w:cs="Arial" w:eastAsia="Arial" w:hAnsi="Arial"/>
          <w:sz w:val="17"/>
          <w:szCs w:val="17"/>
          <w:color w:val="auto"/>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78"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 w:name="page52"/>
    <w:bookmarkEnd w:id="51"/>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reliance on the third-party for regulatory compliance and quality assurance;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third-party;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225"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7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If the third parties that we engage to supply any materials or to manufacture any product candidates for our preclinical tests and clinical trials should cease to continue to do so for any reason, including due to the effects of the COVID-19 pandemic or any other epidemic and the actions undertaken by governments and private enterprises to contain such infectious disease,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At some of our contract manufacturing sites, COVID-19-related restrictions, including temporary shutdowns, and instances of COVID-19 cases impacting personnel have resulted in some delays.</w:t>
      </w:r>
    </w:p>
    <w:p>
      <w:pPr>
        <w:spacing w:after="0" w:line="17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Our current and anticipated dependence upon others for the manufacture of our product candidates and/or materials necessary for production of our product candidates may adversely affect our profit margins and our ability to develop product candidates and commercialize any products that receive marketing approval on a timely and competitive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reliant on a sole supplier for certain steps of our manufacturing process.</w:t>
      </w:r>
    </w:p>
    <w:p>
      <w:pPr>
        <w:spacing w:after="0" w:line="22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Our manufacturing process for NKX101 and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w:t>
      </w:r>
    </w:p>
    <w:p>
      <w:pPr>
        <w:spacing w:after="0" w:line="18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 Substitution of some or all of these reagents and materials may require substantial changes to our manufacturing process, which may require us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w:t>
      </w:r>
    </w:p>
    <w:p>
      <w:pPr>
        <w:spacing w:after="0" w:line="18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Any disruption in supply of these instruments and reagents could also result in delays in our clinical trials, which would materially adversely affect our business, financial condition, results of operations and growth prospects.</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170"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are also building a facility for the commercial-scale manufacture of our product candidates. The design, construction, qualification, regulatory approvals and maintenance for such facilities require substantial capital and technical expertise and any delay would limit our development activities and our opportunities for growth.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ind w:right="40" w:firstLine="509"/>
        <w:spacing w:after="0" w:line="272" w:lineRule="auto"/>
        <w:rPr>
          <w:sz w:val="20"/>
          <w:szCs w:val="20"/>
          <w:color w:val="auto"/>
        </w:rPr>
      </w:pPr>
      <w:r>
        <w:rPr>
          <w:rFonts w:ascii="Arial" w:cs="Arial" w:eastAsia="Arial" w:hAnsi="Arial"/>
          <w:sz w:val="17"/>
          <w:szCs w:val="17"/>
          <w:color w:val="auto"/>
        </w:rPr>
        <w:t>Furthermore, our manufacturing facilities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may encounter problems with the following:</w:t>
      </w:r>
    </w:p>
    <w:p>
      <w:pPr>
        <w:spacing w:after="0" w:line="117" w:lineRule="exact"/>
        <w:rPr>
          <w:sz w:val="20"/>
          <w:szCs w:val="20"/>
          <w:color w:val="auto"/>
        </w:rPr>
      </w:pPr>
    </w:p>
    <w:p>
      <w:pPr>
        <w:ind w:left="10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complying with regulations regarding evolving donor infectious disease testing, traceability, manufacturing, release of product candidates and other requirements from regulatory authorities outside the United States;</w:t>
      </w:r>
    </w:p>
    <w:p>
      <w:pPr>
        <w:spacing w:after="0" w:line="62"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achieving adequate or clinical-grade materials that meet regulatory agency standards or specifications with consistent and acceptable production yield and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bacterial, fungal or viral contamination in our manufacturing facilities;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due to natural disasters or supply chain interruptions;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shortages of qualified personnel, raw materials or key contractors.</w:t>
      </w:r>
    </w:p>
    <w:p>
      <w:pPr>
        <w:spacing w:after="0" w:line="225"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3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optimal donor and manufacturing parameters for our product candidates have not been definitively established, which may hinder our ability to optimize our product candidates or to address any safety or efficacy issues that may arise.</w:t>
      </w:r>
    </w:p>
    <w:p>
      <w:pPr>
        <w:spacing w:after="0" w:line="170"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we have not, at present, fully characterized or identified how donor characteristics and manufacturing process parameters affect the optimal cancer cell killing ability for our engineered NK 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w:t>
      </w:r>
    </w:p>
    <w:p>
      <w:pPr>
        <w:spacing w:after="0" w:line="2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dependent on third parties to store our CAR NK cells, viral vector, master and working cell banks of NKSTIM, and any damage or loss would cause delays in replacement, and our business could suffer.</w:t>
      </w:r>
    </w:p>
    <w:p>
      <w:pPr>
        <w:spacing w:after="0" w:line="170"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The CAR NK cells, the viral vector, and the master and working cell banks of NKSTIM are stored in freezers at third-party biorepositories and will also be stored in our freezers at our production facility.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which would impact clinical supply and delay our patients’ treatments. If we are unable to establish replacement materials, we could incur significant additional expenses and liability to patients whose treatment is delayed, and our business could suffer.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right="300"/>
        <w:spacing w:after="0" w:line="277" w:lineRule="auto"/>
        <w:rPr>
          <w:sz w:val="20"/>
          <w:szCs w:val="20"/>
          <w:color w:val="auto"/>
        </w:rPr>
      </w:pPr>
      <w:r>
        <w:rPr>
          <w:rFonts w:ascii="Arial" w:cs="Arial" w:eastAsia="Arial" w:hAnsi="Arial"/>
          <w:sz w:val="18"/>
          <w:szCs w:val="18"/>
          <w:b w:val="1"/>
          <w:bCs w:val="1"/>
          <w:i w:val="1"/>
          <w:iCs w:val="1"/>
          <w:color w:val="auto"/>
        </w:rPr>
        <w:t>We have not yet developed a validated methodology for freezing and thawing commercial-scale quantities of CAR NK cells, which we believe will be required for the storage and distribution of our CAR NK product candidates.*</w:t>
      </w:r>
    </w:p>
    <w:p>
      <w:pPr>
        <w:spacing w:after="0" w:line="170"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 For these and other reasons, we may not be able to commercialize CAR NK cells on a large scale or in a cost-effective manner. If such product candidate is found to be unstable, we would be required to conduct more frequent manufacturing runs, which could cause us to incur significant additional expenses.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license agreement with National University of Singapore and St. Jude Children’s Research Hospital, Inc. is terminated, we could lose our rights to key components enabling our NK cell engineering platform.*</w:t>
      </w:r>
    </w:p>
    <w:p>
      <w:pPr>
        <w:spacing w:after="0" w:line="1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August 2016, we entered into a license agreement with the National University of Singapore and St. Jude Children’s Research Hospital, Inc. (the "Licensors"). Pursuant to this license, the Licensors granted to us an exclusive, worldwide, royalty-bearing, sublicensable license to specified patents and patent applications related to NK cell technology in the field of therapeutics. We are reliant upon certain rights and proprietary technology provided to us under this license for the production and development of certain of our product candidates, such as NKX101, NKX019 and NKX070.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including NKX101, NKX019 and NKX070, which could impede or prevent our successful commercialization of such product candidates and materially adversely affect our business, financial condition, results of operations and growth prospects.</w:t>
      </w:r>
    </w:p>
    <w:p>
      <w:pPr>
        <w:spacing w:after="0" w:line="182" w:lineRule="exact"/>
        <w:rPr>
          <w:sz w:val="20"/>
          <w:szCs w:val="20"/>
          <w:color w:val="auto"/>
        </w:rPr>
      </w:pPr>
    </w:p>
    <w:p>
      <w:pPr>
        <w:ind w:right="160" w:firstLine="509"/>
        <w:spacing w:after="0" w:line="271" w:lineRule="auto"/>
        <w:rPr>
          <w:sz w:val="20"/>
          <w:szCs w:val="20"/>
          <w:color w:val="auto"/>
        </w:rPr>
      </w:pPr>
      <w:r>
        <w:rPr>
          <w:rFonts w:ascii="Arial" w:cs="Arial" w:eastAsia="Arial" w:hAnsi="Arial"/>
          <w:sz w:val="17"/>
          <w:szCs w:val="17"/>
          <w:color w:val="auto"/>
        </w:rPr>
        <w:t>Furthermore, our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Further, one of the Licensors’ patent families from which we license certain patents and patent applications contains other certain patents and patent applications that the Licensors have licensed to at least one third party. Although the patents and patent applications licensed to the at least one third party should not overlap with our licensed patents and patent applications,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w:t>
      </w:r>
    </w:p>
    <w:p>
      <w:pPr>
        <w:spacing w:after="0" w:line="28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development and commercialization rights to our current and future product candidates and technology are subject, in part, to the terms and conditions of licenses granted to us by others.*</w:t>
      </w:r>
    </w:p>
    <w:p>
      <w:pPr>
        <w:spacing w:after="0" w:line="170" w:lineRule="exact"/>
        <w:rPr>
          <w:sz w:val="20"/>
          <w:szCs w:val="20"/>
          <w:color w:val="auto"/>
        </w:rPr>
      </w:pPr>
    </w:p>
    <w:p>
      <w:pPr>
        <w:jc w:val="both"/>
        <w:ind w:right="80" w:firstLine="509"/>
        <w:spacing w:after="0" w:line="255" w:lineRule="auto"/>
        <w:rPr>
          <w:sz w:val="20"/>
          <w:szCs w:val="20"/>
          <w:color w:val="auto"/>
        </w:rPr>
      </w:pPr>
      <w:r>
        <w:rPr>
          <w:rFonts w:ascii="Arial" w:cs="Arial" w:eastAsia="Arial" w:hAnsi="Arial"/>
          <w:sz w:val="18"/>
          <w:szCs w:val="18"/>
          <w:color w:val="auto"/>
        </w:rPr>
        <w:t>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NKX101, NKX019 and NKX070.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w:t>
      </w:r>
    </w:p>
    <w:p>
      <w:pPr>
        <w:spacing w:after="0" w:line="19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4" w:name="page55"/>
    <w:bookmarkEnd w:id="54"/>
    <w:p>
      <w:pPr>
        <w:ind w:right="100" w:firstLine="509"/>
        <w:spacing w:after="0" w:line="275" w:lineRule="auto"/>
        <w:rPr>
          <w:sz w:val="20"/>
          <w:szCs w:val="20"/>
          <w:color w:val="auto"/>
        </w:rPr>
      </w:pPr>
      <w:r>
        <w:rPr>
          <w:rFonts w:ascii="Arial" w:cs="Arial" w:eastAsia="Arial" w:hAnsi="Arial"/>
          <w:sz w:val="17"/>
          <w:szCs w:val="17"/>
          <w:color w:val="auto"/>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 cell therapies that have been gene-edited using CRISPR’s gene-editing technology.</w:t>
      </w:r>
    </w:p>
    <w:p>
      <w:pPr>
        <w:spacing w:after="0" w:line="17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w:t>
      </w:r>
    </w:p>
    <w:p>
      <w:pPr>
        <w:spacing w:after="0" w:line="188"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substantially the same as or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7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w:t>
      </w:r>
    </w:p>
    <w:p>
      <w:pPr>
        <w:spacing w:after="0" w:line="181"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Furthermore, 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harm our competitive position, and our business.</w:t>
      </w:r>
    </w:p>
    <w:p>
      <w:pPr>
        <w:spacing w:after="0" w:line="2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Duration of patent terms may be inadequate to protect our competitive position on our product candidates for an adequate amount of time, and the expiration of our patents may subject us to increased competition.*</w:t>
      </w:r>
    </w:p>
    <w:p>
      <w:pPr>
        <w:spacing w:after="0" w:line="17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As of June 30, 2023,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across our platform, NKX101, NKX019, and NKX070 patent families. Our portfolio of issued patents, excluding pending patent applications, has estimated expiration dates between 2024 and 2040. Our portfolio, including issued patents, and including pending applications if they issue, has estimated expiration dates between 2024 and 2044. For instance, composition of matter claims in our licensed patent portfolio that relate to our NKSTIM are estimated to expire in Q4 2024. We plan to file additional patent applications that could potentially allow for further increase of the exclusive market protection for use of NKX101, NKX019, and NKX070 product candidates. However, we can provide no assurance that we will be able to file or receive additional patent protection for these or other product candidates.</w:t>
      </w:r>
    </w:p>
    <w:p>
      <w:pPr>
        <w:spacing w:after="0" w:line="178"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In addition, if we fail to apply for applicable patent term extensions or adjustments, we will have a more limited time during which we can enforce our granted patent rights.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right="60" w:firstLine="509"/>
        <w:spacing w:after="0" w:line="286" w:lineRule="auto"/>
        <w:rPr>
          <w:sz w:val="20"/>
          <w:szCs w:val="20"/>
          <w:color w:val="auto"/>
        </w:rPr>
      </w:pPr>
      <w:r>
        <w:rPr>
          <w:rFonts w:ascii="Arial" w:cs="Arial" w:eastAsia="Arial" w:hAnsi="Arial"/>
          <w:sz w:val="16"/>
          <w:szCs w:val="16"/>
          <w:color w:val="auto"/>
        </w:rPr>
        <w:t>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w:t>
      </w:r>
    </w:p>
    <w:p>
      <w:pPr>
        <w:spacing w:after="0" w:line="2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any patent protection we obtain is not sufficiently robust, our competitors could develop and commercialize products and technology similar or identical to ours.</w:t>
      </w:r>
    </w:p>
    <w:p>
      <w:pPr>
        <w:spacing w:after="0" w:line="170"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w:t>
      </w:r>
    </w:p>
    <w:p>
      <w:pPr>
        <w:spacing w:after="0" w:line="166"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The patent position of biotechnology and pharmaceutical companies generally is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w:t>
      </w:r>
    </w:p>
    <w:p>
      <w:pPr>
        <w:spacing w:after="0" w:line="171" w:lineRule="exact"/>
        <w:rPr>
          <w:sz w:val="20"/>
          <w:szCs w:val="20"/>
          <w:color w:val="auto"/>
        </w:rPr>
      </w:pPr>
    </w:p>
    <w:p>
      <w:pPr>
        <w:jc w:val="both"/>
        <w:ind w:right="120" w:firstLine="509"/>
        <w:spacing w:after="0" w:line="311"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w:t>
      </w:r>
    </w:p>
    <w:p>
      <w:pPr>
        <w:spacing w:after="0" w:line="149" w:lineRule="exact"/>
        <w:rPr>
          <w:sz w:val="20"/>
          <w:szCs w:val="20"/>
          <w:color w:val="auto"/>
        </w:rPr>
      </w:pPr>
    </w:p>
    <w:p>
      <w:pPr>
        <w:ind w:right="160" w:firstLine="509"/>
        <w:spacing w:after="0" w:line="301" w:lineRule="auto"/>
        <w:rPr>
          <w:sz w:val="20"/>
          <w:szCs w:val="20"/>
          <w:color w:val="auto"/>
        </w:rPr>
      </w:pPr>
      <w:r>
        <w:rPr>
          <w:rFonts w:ascii="Arial" w:cs="Arial" w:eastAsia="Arial" w:hAnsi="Arial"/>
          <w:sz w:val="16"/>
          <w:szCs w:val="16"/>
          <w:color w:val="auto"/>
        </w:rPr>
        <w:t>Claim scope in a patent application can be significantly reduced before the patent is issued, and claim scope in a patent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2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Even after issuance, our owned and in-licensed patents may be subject to challenge, which if successful could require us to obtain licenses from third parties, which may not be available on commercially reasonable terms or at all, or to cease the use of the underlying technology, which could materially adversely affect our business.*</w:t>
      </w:r>
    </w:p>
    <w:p>
      <w:pPr>
        <w:spacing w:after="0" w:line="184"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w:t>
      </w:r>
    </w:p>
    <w:p>
      <w:pPr>
        <w:spacing w:after="0" w:line="17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Even if our patents are determined to be valid and enforceable, they may not be interpreted sufficiently broadly to prevent others from marketing products similar to ours or designing around our patents.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right="60" w:firstLine="509"/>
        <w:spacing w:after="0" w:line="275" w:lineRule="auto"/>
        <w:rPr>
          <w:sz w:val="20"/>
          <w:szCs w:val="20"/>
          <w:color w:val="auto"/>
        </w:rPr>
      </w:pPr>
      <w:r>
        <w:rPr>
          <w:rFonts w:ascii="Arial" w:cs="Arial" w:eastAsia="Arial" w:hAnsi="Arial"/>
          <w:sz w:val="17"/>
          <w:szCs w:val="17"/>
          <w:color w:val="auto"/>
        </w:rPr>
        <w:t>Post-grant proceedings such as inter partes review, post-grant review, and ex parte reexaminations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proceedings,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spacing w:after="0" w:line="2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could materially adversely affect our ability to develop, manufacture and market our product candidates.</w:t>
      </w:r>
    </w:p>
    <w:p>
      <w:pPr>
        <w:spacing w:after="0" w:line="17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There are many patents issued and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w:t>
      </w:r>
    </w:p>
    <w:p>
      <w:pPr>
        <w:spacing w:after="0" w:line="176"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w:t>
      </w:r>
    </w:p>
    <w:p>
      <w:pPr>
        <w:spacing w:after="0" w:line="165"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If we fail to correctly identify or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w:t>
      </w:r>
    </w:p>
    <w:p>
      <w:pPr>
        <w:spacing w:after="0" w:line="27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spacing w:after="0" w:line="184"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Our success depends in part on our ability to develop, manufacture and market our technology and use our technology without infringing the proprietary rights of third parties. We or our collaborators may be subject to third-party claims that could cause us to incur substantial expenses to defend and these claims, if successful, could require us to pay substantial damages and/or limit our ability to commercialize our product candidates if we or our collaborators are found to be infringing a third party’s intellectual property rights.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7" w:name="page58"/>
    <w:bookmarkEnd w:id="57"/>
    <w:p>
      <w:pPr>
        <w:ind w:right="20" w:firstLine="509"/>
        <w:spacing w:after="0" w:line="287" w:lineRule="auto"/>
        <w:rPr>
          <w:sz w:val="20"/>
          <w:szCs w:val="20"/>
          <w:color w:val="auto"/>
        </w:rPr>
      </w:pPr>
      <w:r>
        <w:rPr>
          <w:rFonts w:ascii="Arial" w:cs="Arial" w:eastAsia="Arial" w:hAnsi="Arial"/>
          <w:sz w:val="16"/>
          <w:szCs w:val="16"/>
          <w:color w:val="auto"/>
        </w:rPr>
        <w:t>We are aware of third-party patents and patent applications that may relate to the areas in which we are developing product candidates. 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 We may decide to file reexaminations, inter partes reviews, and other post-grant proceedings before the USPTO and other comparable proceedings (e.g., oppositions) in foreign jurisdictions, including to challenge the validity of third-party patents that may relate to the areas in which we are developing product candidates and technology. Such proceedings can be unpredictable and time-consuming and can divert management attention and financial resources.</w:t>
      </w:r>
    </w:p>
    <w:p>
      <w:pPr>
        <w:spacing w:after="0" w:line="168"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w:t>
      </w:r>
    </w:p>
    <w:p>
      <w:pPr>
        <w:spacing w:after="0" w:line="184" w:lineRule="exact"/>
        <w:rPr>
          <w:sz w:val="20"/>
          <w:szCs w:val="20"/>
          <w:color w:val="auto"/>
        </w:rPr>
      </w:pPr>
    </w:p>
    <w:p>
      <w:pPr>
        <w:jc w:val="both"/>
        <w:ind w:right="80" w:firstLine="509"/>
        <w:spacing w:after="0" w:line="301" w:lineRule="auto"/>
        <w:rPr>
          <w:sz w:val="20"/>
          <w:szCs w:val="20"/>
          <w:color w:val="auto"/>
        </w:rPr>
      </w:pPr>
      <w:r>
        <w:rPr>
          <w:rFonts w:ascii="Arial" w:cs="Arial" w:eastAsia="Arial" w:hAnsi="Arial"/>
          <w:sz w:val="16"/>
          <w:szCs w:val="16"/>
          <w:color w:val="auto"/>
        </w:rPr>
        <w:t>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w:t>
      </w:r>
    </w:p>
    <w:p>
      <w:pPr>
        <w:spacing w:after="0" w:line="15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w:t>
      </w:r>
    </w:p>
    <w:p>
      <w:pPr>
        <w:spacing w:after="0" w:line="286" w:lineRule="exact"/>
        <w:rPr>
          <w:sz w:val="20"/>
          <w:szCs w:val="20"/>
          <w:color w:val="auto"/>
        </w:rPr>
      </w:pPr>
    </w:p>
    <w:p>
      <w:pPr>
        <w:ind w:right="580"/>
        <w:spacing w:after="0" w:line="381" w:lineRule="auto"/>
        <w:rPr>
          <w:sz w:val="20"/>
          <w:szCs w:val="20"/>
          <w:color w:val="auto"/>
        </w:rPr>
      </w:pPr>
      <w:r>
        <w:rPr>
          <w:rFonts w:ascii="Arial" w:cs="Arial" w:eastAsia="Arial" w:hAnsi="Arial"/>
          <w:sz w:val="15"/>
          <w:szCs w:val="15"/>
          <w:b w:val="1"/>
          <w:bCs w:val="1"/>
          <w:i w:val="1"/>
          <w:iCs w:val="1"/>
          <w:color w:val="auto"/>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spacing w:after="0" w:line="10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spacing w:after="0" w:line="18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We may also, from time to time, seek to enforce our intellectual property rights against infringers when we determine that a successful outcome is probable and may lead to an increase in the value of the intellectual property.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8" w:name="page59"/>
    <w:bookmarkEnd w:id="58"/>
    <w:p>
      <w:pPr>
        <w:ind w:right="40" w:firstLine="509"/>
        <w:spacing w:after="0" w:line="269" w:lineRule="auto"/>
        <w:rPr>
          <w:sz w:val="20"/>
          <w:szCs w:val="20"/>
          <w:color w:val="auto"/>
        </w:rPr>
      </w:pPr>
      <w:r>
        <w:rPr>
          <w:rFonts w:ascii="Arial" w:cs="Arial" w:eastAsia="Arial" w:hAnsi="Arial"/>
          <w:sz w:val="17"/>
          <w:szCs w:val="17"/>
          <w:color w:val="auto"/>
        </w:rPr>
        <w:t>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w:t>
      </w:r>
    </w:p>
    <w:p>
      <w:pPr>
        <w:spacing w:after="0" w:line="18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w:t>
      </w:r>
    </w:p>
    <w:p>
      <w:pPr>
        <w:spacing w:after="0" w:line="178"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We have a number of international patents and patent applications and expect to continue to pursue patent protection in many of the significant markets in which we intend to do business. However, filing, prosecuting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6"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Furthermore, the protection offered by intellectual property rights in certain countries outside of the United States may be less extensive than that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w:t>
      </w:r>
    </w:p>
    <w:p>
      <w:pPr>
        <w:spacing w:after="0" w:line="30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spacing w:after="0" w:line="170"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ind w:right="20" w:firstLine="509"/>
        <w:spacing w:after="0" w:line="287"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w:t>
      </w:r>
    </w:p>
    <w:p>
      <w:pPr>
        <w:spacing w:after="0" w:line="17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w:t>
      </w:r>
    </w:p>
    <w:p>
      <w:pPr>
        <w:spacing w:after="0" w:line="176"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During a seven-year transitional period, patent owners may remove patents, patent applications, and supplementary protection certificates (SPCs) from the jurisdiction of the UPC, provided that no action has been filed before the UPC, by filing a request to opt out of the jurisdiction of the UPC. Such “opted-out” patents will remain or issue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enforce assignments of intellectual property rights from our employees and contractors.</w:t>
      </w:r>
    </w:p>
    <w:p>
      <w:pPr>
        <w:spacing w:after="0" w:line="225"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0" w:name="page61"/>
    <w:bookmarkEnd w:id="60"/>
    <w:p>
      <w:pPr>
        <w:ind w:right="720"/>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 candidates could be materially diminished.</w:t>
      </w:r>
    </w:p>
    <w:p>
      <w:pPr>
        <w:spacing w:after="0" w:line="170"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w:t>
      </w:r>
    </w:p>
    <w:p>
      <w:pPr>
        <w:spacing w:after="0" w:line="29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spacing w:after="0" w:line="124"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The U.S. government has certain rights in some of our licensed patents (including U.S. Patent Nos. 7,435,596, 8,026,097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has the right to require us to grant exclusive licenses to such inventions to a third party if the U.S. government determines that: (i) adequate steps have not been taken to commercialize the invention; (ii) government action is necessary to meet public health or safety needs; or (iii) government action is necessary to meet requirements for public use under federal regulations.</w:t>
      </w:r>
    </w:p>
    <w:p>
      <w:pPr>
        <w:spacing w:after="0" w:line="178"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w:t>
      </w:r>
    </w:p>
    <w:p>
      <w:pPr>
        <w:spacing w:after="0" w:line="157"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If we are unable to obtain a waiver from the government agency that provided the underlying research funding, we may be limited in our ability to contract with non-U.S. product manufacturers for products related to such intellectual property.</w:t>
      </w:r>
    </w:p>
    <w:p>
      <w:pPr>
        <w:spacing w:after="0" w:line="17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18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w:t>
      </w:r>
    </w:p>
    <w:p>
      <w:pPr>
        <w:spacing w:after="0" w:line="2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product candidates, including NKX101 and NKX019, could be subject to regulatory limitations following approval, if and when such approval is granted.*</w:t>
      </w:r>
    </w:p>
    <w:p>
      <w:pPr>
        <w:spacing w:after="0" w:line="170"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NKX101 and NKX019 or other product candidates in development.</w:t>
      </w:r>
    </w:p>
    <w:p>
      <w:pPr>
        <w:spacing w:after="0" w:line="18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w:t>
      </w:r>
    </w:p>
    <w:p>
      <w:pPr>
        <w:spacing w:after="0" w:line="192"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w:t>
      </w:r>
    </w:p>
    <w:p>
      <w:pPr>
        <w:spacing w:after="0" w:line="57"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such products’ manufacturing processes;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the product label;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marketing of a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education requirements for prescribers;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requirements prior to product distribution;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product distribution;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Untitled or Warning Letters from the FDA;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62" w:name="page63"/>
    <w:bookmarkEnd w:id="62"/>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if and when approved, may be limited, and if such market opportunities are smaller than we expect, our revenues could be materially adversely affected and our business could suffer.</w:t>
      </w:r>
    </w:p>
    <w:p>
      <w:pPr>
        <w:spacing w:after="0" w:line="17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Our initial clinical trials evaluate NKX101 and NKX019 in relapsed/refractory patients who have been previously treated with other anti-cancer therapies. We do not know at this time whether either NKX101 or NKX019 or any of our product candidates will be safe for use in humans or whether they will demonstrate any anti-cancer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w:t>
      </w:r>
    </w:p>
    <w:p>
      <w:pPr>
        <w:spacing w:after="0" w:line="177" w:lineRule="exact"/>
        <w:rPr>
          <w:sz w:val="20"/>
          <w:szCs w:val="20"/>
          <w:color w:val="auto"/>
        </w:rPr>
      </w:pPr>
    </w:p>
    <w:p>
      <w:pPr>
        <w:ind w:right="380" w:firstLine="509"/>
        <w:spacing w:after="0" w:line="293" w:lineRule="auto"/>
        <w:rPr>
          <w:sz w:val="20"/>
          <w:szCs w:val="20"/>
          <w:color w:val="auto"/>
        </w:rPr>
      </w:pPr>
      <w:r>
        <w:rPr>
          <w:rFonts w:ascii="Arial" w:cs="Arial" w:eastAsia="Arial" w:hAnsi="Arial"/>
          <w:sz w:val="16"/>
          <w:szCs w:val="16"/>
          <w:color w:val="auto"/>
        </w:rPr>
        <w:t>The number of patients who have the cancers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spacing w:after="0" w:line="27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product candidates will depend upon such product candidate’s degree of market acceptance by physicians, patients, third-party payors and others in the medical community.</w:t>
      </w:r>
    </w:p>
    <w:p>
      <w:pPr>
        <w:spacing w:after="0" w:line="170"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w:t>
      </w:r>
    </w:p>
    <w:p>
      <w:pPr>
        <w:spacing w:after="0" w:line="56"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physicians to refer patients and prescribe new therapies;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nature, prevalence and severity of any side effects;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3" w:name="page64"/>
    <w:bookmarkEnd w:id="63"/>
    <w:p>
      <w:pPr>
        <w:ind w:left="1020" w:right="30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labeling or product insert requirements imposed by the FDA or other regulatory authorities, including any limitations or warnings contained in a product’s approved labeling;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publicity concerning our product candidates or favorable publicity about competing products and treatments;</w:t>
      </w:r>
    </w:p>
    <w:p>
      <w:pPr>
        <w:spacing w:after="0" w:line="117"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sufficient third-party payor coverage, any limitations in terms of center or personnel training requirement imposed by third parties and adequate reimbursement;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warnings contained in the FDA-approved labeling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FDA requirement to undertake a REMS;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sales, marketing and distribution efforts;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Even if a product candidate displays a favorable efficacy and safety profile in preclinical studies and clinical trials, market acceptance of the product will not be fully known until after such product is launched. Our product candidates may not achieve broad market acceptance.</w:t>
      </w:r>
    </w:p>
    <w:p>
      <w:pPr>
        <w:spacing w:after="0" w:line="170"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p>
    <w:p>
      <w:pPr>
        <w:spacing w:after="0" w:line="124"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expect the cost of a single administration of one of our cell therapy product candidates to be substantial, when and if they achieve regulatory approval. We expect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w:t>
      </w:r>
    </w:p>
    <w:p>
      <w:pPr>
        <w:spacing w:after="0" w:line="19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88"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ind w:firstLine="509"/>
        <w:spacing w:after="0" w:line="290" w:lineRule="auto"/>
        <w:rPr>
          <w:sz w:val="20"/>
          <w:szCs w:val="20"/>
          <w:color w:val="auto"/>
        </w:rPr>
      </w:pPr>
      <w:r>
        <w:rPr>
          <w:rFonts w:ascii="Arial" w:cs="Arial" w:eastAsia="Arial" w:hAnsi="Arial"/>
          <w:sz w:val="16"/>
          <w:szCs w:val="16"/>
          <w:color w:val="auto"/>
        </w:rPr>
        <w:t>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6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initiatives and other administrative and legislative proposals may harm our business.*</w:t>
      </w:r>
    </w:p>
    <w:p>
      <w:pPr>
        <w:spacing w:after="0" w:line="225" w:lineRule="exact"/>
        <w:rPr>
          <w:sz w:val="20"/>
          <w:szCs w:val="20"/>
          <w:color w:val="auto"/>
        </w:rPr>
      </w:pPr>
    </w:p>
    <w:p>
      <w:pPr>
        <w:ind w:right="220" w:firstLine="509"/>
        <w:spacing w:after="0" w:line="273" w:lineRule="auto"/>
        <w:rPr>
          <w:sz w:val="20"/>
          <w:szCs w:val="20"/>
          <w:color w:val="auto"/>
        </w:rPr>
      </w:pPr>
      <w:r>
        <w:rPr>
          <w:rFonts w:ascii="Arial" w:cs="Arial" w:eastAsia="Arial" w:hAnsi="Arial"/>
          <w:sz w:val="17"/>
          <w:szCs w:val="17"/>
          <w:color w:val="auto"/>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Patient Protection and Affordable Care Act, as amended by the Health Care and Education Reconciliation Act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spacing w:after="0" w:line="70" w:lineRule="exact"/>
        <w:rPr>
          <w:sz w:val="20"/>
          <w:szCs w:val="20"/>
          <w:color w:val="auto"/>
        </w:rPr>
      </w:pPr>
    </w:p>
    <w:p>
      <w:pPr>
        <w:ind w:left="1020" w:right="6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 agents or biologic agents, which is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1020" w:right="580" w:hanging="503"/>
        <w:spacing w:after="0" w:line="26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manufacturers’ Medicaid rebate liability;</w:t>
      </w:r>
    </w:p>
    <w:p>
      <w:pPr>
        <w:spacing w:after="0" w:line="75"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62"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5" w:name="page66"/>
    <w:bookmarkEnd w:id="65"/>
    <w:p>
      <w:pPr>
        <w:ind w:right="20" w:firstLine="509"/>
        <w:spacing w:after="0" w:line="288" w:lineRule="auto"/>
        <w:rPr>
          <w:sz w:val="20"/>
          <w:szCs w:val="20"/>
          <w:color w:val="auto"/>
        </w:rPr>
      </w:pPr>
      <w:r>
        <w:rPr>
          <w:rFonts w:ascii="Arial" w:cs="Arial" w:eastAsia="Arial" w:hAnsi="Arial"/>
          <w:sz w:val="16"/>
          <w:szCs w:val="16"/>
          <w:color w:val="auto"/>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(the "BBA")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 and it is unclear how other efforts, if any, to challenge, repeal or replace the ACA, and other healthcare reform measures, will impact our business.</w:t>
      </w:r>
    </w:p>
    <w:p>
      <w:pPr>
        <w:spacing w:after="0" w:line="168"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w:t>
      </w:r>
    </w:p>
    <w:p>
      <w:pPr>
        <w:spacing w:after="0" w:line="17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w:t>
      </w:r>
    </w:p>
    <w:p>
      <w:pPr>
        <w:spacing w:after="0" w:line="185"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There have also been a number of proposals in the United States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Most significantly, on August 16, 2022, the Inflation Reduction Act of 2022 ("IRA") was signed into law.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increases that outpace inflation; (iii) cap Medicare Part D beneficiaries’ annual out-of-pocket drug expenses to $2,000 starting in 2025, effectively eliminating the “donut hole” for Medicare Part D; and (iv) delay the rebate rule that would limit the fees that pharmacy benefit managers can charge. The IRA also extends enhanced subsidies for individuals purchasing coverage in a health insurance marketplace through plan year 2025. The effect of the IRA on our business and the healthcare industry in general is not yet known, but we continue to evaluate its potential impact. 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6" w:name="page67"/>
    <w:bookmarkEnd w:id="66"/>
    <w:p>
      <w:pPr>
        <w:spacing w:after="0" w:line="301" w:lineRule="auto"/>
        <w:rPr>
          <w:sz w:val="20"/>
          <w:szCs w:val="20"/>
          <w:color w:val="auto"/>
        </w:rPr>
      </w:pPr>
      <w:r>
        <w:rPr>
          <w:rFonts w:ascii="Arial" w:cs="Arial" w:eastAsia="Arial" w:hAnsi="Arial"/>
          <w:sz w:val="16"/>
          <w:szCs w:val="16"/>
          <w:color w:val="auto"/>
        </w:rPr>
        <w:t>regulate pharmaceutical benefit managers ("PBMs")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5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w:t>
      </w:r>
    </w:p>
    <w:p>
      <w:pPr>
        <w:spacing w:after="0" w:line="30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Obtaining and maintaining marketing approval or commercialization of our product candidates in one jurisdiction does not mean that we will be successful in obtaining marketing approval of our product candidates in other jurisdictions.</w:t>
      </w:r>
    </w:p>
    <w:p>
      <w:pPr>
        <w:spacing w:after="0" w:line="170" w:lineRule="exact"/>
        <w:rPr>
          <w:sz w:val="20"/>
          <w:szCs w:val="20"/>
          <w:color w:val="auto"/>
        </w:rPr>
      </w:pPr>
    </w:p>
    <w:p>
      <w:pPr>
        <w:ind w:right="260" w:firstLine="509"/>
        <w:spacing w:after="0" w:line="301" w:lineRule="auto"/>
        <w:rPr>
          <w:sz w:val="20"/>
          <w:szCs w:val="20"/>
          <w:color w:val="auto"/>
        </w:rPr>
      </w:pPr>
      <w:r>
        <w:rPr>
          <w:rFonts w:ascii="Arial" w:cs="Arial" w:eastAsia="Arial" w:hAnsi="Arial"/>
          <w:sz w:val="16"/>
          <w:szCs w:val="16"/>
          <w:color w:val="auto"/>
        </w:rPr>
        <w:t>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we market approved products outside the United States, we expect that we will be subject to additional risks in commercialization, including:</w:t>
      </w:r>
    </w:p>
    <w:p>
      <w:pPr>
        <w:spacing w:after="0" w:line="129"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therapies in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20" w:right="220" w:hanging="503"/>
        <w:spacing w:after="0" w:line="342"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natural disasters including earthquakes, typhoons, floods and fires, and other public health crises, illnesses, epidemics or pandemics, such as the potential impact of the COVID-19 outbreak.</w:t>
      </w:r>
    </w:p>
    <w:p>
      <w:pPr>
        <w:spacing w:after="0" w:line="124"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7" w:name="page68"/>
    <w:bookmarkEnd w:id="67"/>
    <w:p>
      <w:pPr>
        <w:ind w:right="480"/>
        <w:spacing w:after="0" w:line="381" w:lineRule="auto"/>
        <w:rPr>
          <w:sz w:val="20"/>
          <w:szCs w:val="20"/>
          <w:color w:val="auto"/>
        </w:rPr>
      </w:pPr>
      <w:r>
        <w:rPr>
          <w:rFonts w:ascii="Arial" w:cs="Arial" w:eastAsia="Arial" w:hAnsi="Arial"/>
          <w:sz w:val="15"/>
          <w:szCs w:val="15"/>
          <w:b w:val="1"/>
          <w:bCs w:val="1"/>
          <w:i w:val="1"/>
          <w:iCs w:val="1"/>
          <w:color w:val="auto"/>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p>
    <w:p>
      <w:pPr>
        <w:spacing w:after="0" w:line="10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w:t>
      </w:r>
    </w:p>
    <w:p>
      <w:pPr>
        <w:spacing w:after="0" w:line="185"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comply with evolving global privacy laws.*</w:t>
      </w:r>
    </w:p>
    <w:p>
      <w:pPr>
        <w:spacing w:after="0" w:line="225" w:lineRule="exact"/>
        <w:rPr>
          <w:sz w:val="20"/>
          <w:szCs w:val="20"/>
          <w:color w:val="auto"/>
        </w:rPr>
      </w:pPr>
    </w:p>
    <w:p>
      <w:pPr>
        <w:jc w:val="both"/>
        <w:ind w:right="180" w:firstLine="509"/>
        <w:spacing w:after="0" w:line="275" w:lineRule="auto"/>
        <w:rPr>
          <w:sz w:val="20"/>
          <w:szCs w:val="20"/>
          <w:color w:val="auto"/>
        </w:rPr>
      </w:pPr>
      <w:r>
        <w:rPr>
          <w:rFonts w:ascii="Arial" w:cs="Arial" w:eastAsia="Arial" w:hAnsi="Arial"/>
          <w:sz w:val="17"/>
          <w:szCs w:val="17"/>
          <w:color w:val="auto"/>
        </w:rPr>
        <w:t>In the ordinary course of business, we collect, receive, store, process, generate, use, transfer, disclose, make accessible, protect, secure, dispose of, transmit, and share sensitive information, including personal data, proprietary and confidential business data, trade secrets, intellectual property, data we collect about trial participants in connection with clinical trials, and sensitive third-party data.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the United States, there are a broad variety of data protection and security laws and regulations that have been enacted by federal, state, and local governments, including personal data privacy laws, health information privacy laws, data breach notification laws, and consumer protection laws, For example, the Health Insurance Portability and Accountability Act of 1996 ("HIPAA"), as amended by the Health Information Technology for Economic and Clinical Health Act of 2009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 There are a wide range of enforcement agencies at both the state and federal levels that can review companies for privacy and data security concerns based on general consumer protection laws. The Federal Trade Commission and state Attorneys General may all review privacy and data security protections for consumers.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8" w:name="page69"/>
    <w:bookmarkEnd w:id="68"/>
    <w:p>
      <w:pPr>
        <w:ind w:firstLine="509"/>
        <w:spacing w:after="0" w:line="268" w:lineRule="auto"/>
        <w:rPr>
          <w:sz w:val="20"/>
          <w:szCs w:val="20"/>
          <w:color w:val="auto"/>
        </w:rPr>
      </w:pPr>
      <w:r>
        <w:rPr>
          <w:rFonts w:ascii="Arial" w:cs="Arial" w:eastAsia="Arial" w:hAnsi="Arial"/>
          <w:sz w:val="17"/>
          <w:szCs w:val="17"/>
          <w:color w:val="auto"/>
        </w:rPr>
        <w:t>New laws also are being enacted and considered at both the state and federal levels. For example, the California Consumer Privacy Act (the "CCPA"), which went into effect on January 1, 2020,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$7,500 per violation) and includes a private right of action for certain data breaches. Although there are some exemptions for clinical trial data and health information, the CCPA may impact our business activities and increase our compliance costs and potential liability. In addition, it is anticipated that the California Privacy Rights Act (the "CPRA"), which became operative on January 1, 2023, will expand the CCPA, including by expanding consumers’ rights with respect to certain sensitive personal data. The CPRA also creates the new California Privacy Protection Agency to implement and enforce the CCPA and the CPRA, which could increase compliance costs.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Additionally,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186"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Outside the United States, an increasing number of laws, regulations, and industry standards apply to data privacy and security. For example, 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6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w:t>
      </w:r>
    </w:p>
    <w:p>
      <w:pPr>
        <w:spacing w:after="0" w:line="188"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 which could contribute to the loss of all or part of your investment.*</w:t>
      </w:r>
    </w:p>
    <w:p>
      <w:pPr>
        <w:spacing w:after="0" w:line="225"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response to various factors, some of which are beyond our control.</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affecting the trading price of our common stock may include, but are not limited to:</w:t>
      </w:r>
    </w:p>
    <w:p>
      <w:pPr>
        <w:spacing w:after="0" w:line="117" w:lineRule="exact"/>
        <w:rPr>
          <w:sz w:val="20"/>
          <w:szCs w:val="20"/>
          <w:color w:val="auto"/>
        </w:rPr>
      </w:pPr>
    </w:p>
    <w:p>
      <w:pPr>
        <w:ind w:left="5540" w:right="2280" w:hanging="5023"/>
        <w:spacing w:after="0" w:line="527" w:lineRule="auto"/>
        <w:tabs>
          <w:tab w:leader="none" w:pos="1033"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decision to initiate a clinical study, not to initiate a clinical study or to terminate an existing clinical study;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9" w:name="page70"/>
    <w:bookmarkEnd w:id="69"/>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the announcement of initial data or clinical results from our clinical trials or expectations that such delays may occur;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data or clinical results from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 or failure of competitive products, immunotherapy drugs or cellular therapies more generally;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our strategic partnerships;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safety or other clinical results, such as those that have occurred in the past or that may occur in the future, related to cellular therapies being developed by other companies that are or may be perceived to be similar to our cellular therapies;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w:t>
      </w:r>
    </w:p>
    <w:p>
      <w:pPr>
        <w:spacing w:after="0" w:line="62" w:lineRule="exact"/>
        <w:rPr>
          <w:rFonts w:ascii="Arial" w:cs="Arial" w:eastAsia="Arial" w:hAnsi="Arial"/>
          <w:sz w:val="18"/>
          <w:szCs w:val="18"/>
          <w:color w:val="auto"/>
        </w:rPr>
      </w:pPr>
    </w:p>
    <w:p>
      <w:pPr>
        <w:ind w:left="1020" w:hanging="503"/>
        <w:spacing w:after="0" w:line="26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inflationary pressures, interest rates, fuel prices, elections, drug pricing policies, international currency fluctuations, acts of war or terrorism, and other public health crises, illnesses, epidemics or pandemics, such as the potential impact of the COVID-19 outbreak; and</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factors discussed in these risk factors.</w:t>
      </w:r>
    </w:p>
    <w:p>
      <w:pPr>
        <w:spacing w:after="0" w:line="225" w:lineRule="exact"/>
        <w:rPr>
          <w:sz w:val="20"/>
          <w:szCs w:val="20"/>
          <w:color w:val="auto"/>
        </w:rPr>
      </w:pPr>
    </w:p>
    <w:p>
      <w:pPr>
        <w:ind w:right="180" w:firstLine="509"/>
        <w:spacing w:after="0" w:line="286" w:lineRule="auto"/>
        <w:rPr>
          <w:sz w:val="20"/>
          <w:szCs w:val="20"/>
          <w:color w:val="auto"/>
        </w:rPr>
      </w:pPr>
      <w:r>
        <w:rPr>
          <w:rFonts w:ascii="Arial" w:cs="Arial" w:eastAsia="Arial" w:hAnsi="Arial"/>
          <w:sz w:val="17"/>
          <w:szCs w:val="17"/>
          <w:color w:val="auto"/>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spacing w:after="0" w:line="165"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have been highly volatile as a result of the COVID-19 pandemic. The COVID-19 outbreak continues to rapidly evolve. The full extent to which the outbreak may impact our business, preclinical studies and clinical trials will depend on future developments, which are highly uncertain and cannot be predicted with confidence.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spacing w:after="0" w:line="2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17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As of August 7, 2023, our directors and executive officers, and entities affiliated with them, as well as holders of more than 5% of our outstanding shares of common stock, in the aggregate beneficially own 71% of our common stock.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spacing w:after="0" w:line="187" w:lineRule="exact"/>
        <w:rPr>
          <w:sz w:val="20"/>
          <w:szCs w:val="20"/>
          <w:color w:val="auto"/>
        </w:rPr>
      </w:pPr>
    </w:p>
    <w:p>
      <w:pPr>
        <w:jc w:val="both"/>
        <w:ind w:right="160" w:firstLine="509"/>
        <w:spacing w:after="0" w:line="311" w:lineRule="auto"/>
        <w:rPr>
          <w:sz w:val="20"/>
          <w:szCs w:val="20"/>
          <w:color w:val="auto"/>
        </w:rPr>
      </w:pPr>
      <w:r>
        <w:rPr>
          <w:rFonts w:ascii="Arial" w:cs="Arial" w:eastAsia="Arial" w:hAnsi="Arial"/>
          <w:sz w:val="16"/>
          <w:szCs w:val="16"/>
          <w:color w:val="auto"/>
        </w:rPr>
        <w:t>Some of these persons or entities may have interests different from yours.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ind w:right="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w:t>
      </w:r>
    </w:p>
    <w:p>
      <w:pPr>
        <w:spacing w:after="0" w:line="17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stockholders intend to sell shares of our common stock, could reduce the market price of our common stock. As of August 7, 2023, we had 49,058,234 shares of common stock outstanding.</w:t>
      </w:r>
    </w:p>
    <w:p>
      <w:pPr>
        <w:spacing w:after="0" w:line="184"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Holders of an aggregate of 13,200,076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w:t>
      </w:r>
    </w:p>
    <w:p>
      <w:pPr>
        <w:spacing w:after="0" w:line="28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spacing w:after="0" w:line="184"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spacing w:after="0" w:line="16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$1.235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88"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spacing w:after="0" w:line="2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severance and change in control agreements with our executive officers may require us to pay severance benefits to any of those persons who are terminated, which could materially adversely affect our financial condition or results of operations.</w:t>
      </w:r>
    </w:p>
    <w:p>
      <w:pPr>
        <w:spacing w:after="0" w:line="170"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could materially adversely affect our financial condition and results of operations. In addition, these potential severance payments may discourage or prevent third parties from seeking a business combination with us.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Our ability to use our net operating loss carryovers and certain other tax attributes may be limited.</w:t>
      </w:r>
    </w:p>
    <w:p>
      <w:pPr>
        <w:spacing w:after="0" w:line="225"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As described above under “We have incurred significant losses since our inception, and we expect to continue to incur significant losses for the foreseeable future,” we have incurred net losses since our inception and anticipate that we will continue to incur significant losses for the foreseeable future. Under the Internal Revenue Code of 1986 (the "Code"), a corporation is generally allowed a deduction for net operating losses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Recently enacted legislation, the Coronavirus Aid, Relief and Economic Security Act (the "CARES Act") temporarily reverses the limitations imposed by the Tax Act by suspending the 80% taxable income limitation to permit a corporation to offset without limitation its taxable income in 2019 or 2020 with NOL carryforwards generated in prior years. The CARES Act also allows NOLs generated in tax years 2018-2020 to be carried back up to five years.</w:t>
      </w:r>
    </w:p>
    <w:p>
      <w:pPr>
        <w:spacing w:after="0" w:line="18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w:t>
      </w:r>
    </w:p>
    <w:p>
      <w:pPr>
        <w:spacing w:after="0" w:line="18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Under the Tax Act’s amendment to Section 174 of the Code, beginning with tax years that start after December 31, 2021, research and development expenses must be capitalized and amortized over five or fifteen years, as applicable. This tax law change has increased our effective tax rate and our cash tax payable in the taxable year 2022. If the requirement to capitalize Section 174 expenditures is not repealed or otherwise modified, it may also impact our effective tax rate and our cash tax liability in future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to the holders of our common stock for the foreseeable future.</w:t>
      </w:r>
    </w:p>
    <w:p>
      <w:pPr>
        <w:spacing w:after="0" w:line="22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w:t>
      </w:r>
    </w:p>
    <w:p>
      <w:pPr>
        <w:spacing w:after="0" w:line="29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84"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Our certificate of incorporation, bylaws and Delaware law contain provisions that may have the effect of delaying or preventing a change in control of us or changes in our management. Our certificate of incorporation and bylaws include provisions that:</w:t>
      </w:r>
    </w:p>
    <w:p>
      <w:pPr>
        <w:spacing w:after="0" w:line="62" w:lineRule="exact"/>
        <w:rPr>
          <w:sz w:val="20"/>
          <w:szCs w:val="20"/>
          <w:color w:val="auto"/>
        </w:rPr>
      </w:pPr>
    </w:p>
    <w:p>
      <w:pPr>
        <w:ind w:left="1020" w:right="44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left="1020" w:right="36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 which may delay the ability of our stockholders to change the membership of a majority of our board of directors;</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specify that only our board of directors, the Chairperson of our board of directors, our Chief Executive Officer or the President, or holders of greater than 10% of our common stock can call special meetings of our stockholders;</w:t>
      </w:r>
    </w:p>
    <w:p>
      <w:pPr>
        <w:spacing w:after="0" w:line="62"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a majority of directors then in office, even though less than a quorum, may fill vacancies on our board of directors;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bylaws;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require supermajority votes of the holders of our common stock to amend specified provisions of our Certificate of Incorporation and bylaws.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540" w:firstLine="509"/>
        <w:spacing w:after="0" w:line="342" w:lineRule="auto"/>
        <w:rPr>
          <w:sz w:val="20"/>
          <w:szCs w:val="20"/>
          <w:color w:val="auto"/>
        </w:rPr>
      </w:pPr>
      <w:r>
        <w:rPr>
          <w:rFonts w:ascii="Arial" w:cs="Arial" w:eastAsia="Arial" w:hAnsi="Arial"/>
          <w:sz w:val="16"/>
          <w:szCs w:val="16"/>
          <w:color w:val="auto"/>
        </w:rPr>
        <w:t>In addition, because we are incorporated in the State of Delaware, we are governed by the provisions of Section 203 of the Delaware General Corporation Law, which limits the ability of stockholders owning in excess of 15% of our outstanding voting stock to merge or combine with us.</w:t>
      </w:r>
    </w:p>
    <w:p>
      <w:pPr>
        <w:spacing w:after="0" w:line="124"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w:t>
      </w:r>
    </w:p>
    <w:p>
      <w:pPr>
        <w:spacing w:after="0" w:line="2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includes a forum selection clause, which could limit our stockholders’ ability to obtain a favorable judicial forum for disputes with us.</w:t>
      </w:r>
    </w:p>
    <w:p>
      <w:pPr>
        <w:spacing w:after="0" w:line="170" w:lineRule="exact"/>
        <w:rPr>
          <w:sz w:val="20"/>
          <w:szCs w:val="20"/>
          <w:color w:val="auto"/>
        </w:rPr>
      </w:pPr>
    </w:p>
    <w:p>
      <w:pPr>
        <w:ind w:right="320" w:firstLine="509"/>
        <w:spacing w:after="0" w:line="342" w:lineRule="auto"/>
        <w:rPr>
          <w:sz w:val="20"/>
          <w:szCs w:val="20"/>
          <w:color w:val="auto"/>
        </w:rPr>
      </w:pPr>
      <w:r>
        <w:rPr>
          <w:rFonts w:ascii="Arial" w:cs="Arial" w:eastAsia="Arial" w:hAnsi="Arial"/>
          <w:sz w:val="16"/>
          <w:szCs w:val="16"/>
          <w:color w:val="auto"/>
        </w:rPr>
        <w:t>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w:t>
      </w:r>
    </w:p>
    <w:p>
      <w:pPr>
        <w:spacing w:after="0" w:line="16"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action asserting a claim of breach of a fiduciary duty owed by any of our directors, officers or other employees to us or our stockholders;</w:t>
      </w:r>
    </w:p>
    <w:p>
      <w:pPr>
        <w:spacing w:after="0" w:line="128" w:lineRule="exact"/>
        <w:rPr>
          <w:rFonts w:ascii="Arial" w:cs="Arial" w:eastAsia="Arial" w:hAnsi="Arial"/>
          <w:sz w:val="17"/>
          <w:szCs w:val="17"/>
          <w:color w:val="auto"/>
        </w:rPr>
      </w:pPr>
    </w:p>
    <w:p>
      <w:pPr>
        <w:ind w:left="1020" w:right="96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action asserting a claim against us arising pursuant to any provision of the Delaware General Corporation Law, our certificate of incorporation or our bylaws;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action asserting a claim against us that is governed by the internal affairs doctrine.</w:t>
      </w:r>
    </w:p>
    <w:p>
      <w:pPr>
        <w:spacing w:after="0" w:line="225"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This exclusive forum provision is intended to apply to claims arising under Delaware state law and is not intended to apply to claims brought pursuant to the Exchange Act or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ind w:right="20" w:firstLine="509"/>
        <w:spacing w:after="0" w:line="293"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macroeconomic conditions, including rising inflation, interest rates and supply chain constraints.</w:t>
      </w:r>
    </w:p>
    <w:p>
      <w:pPr>
        <w:spacing w:after="0" w:line="225" w:lineRule="exact"/>
        <w:rPr>
          <w:sz w:val="20"/>
          <w:szCs w:val="20"/>
          <w:color w:val="auto"/>
        </w:rPr>
      </w:pPr>
    </w:p>
    <w:p>
      <w:pPr>
        <w:ind w:right="100" w:firstLine="509"/>
        <w:spacing w:after="0" w:line="287" w:lineRule="auto"/>
        <w:rPr>
          <w:sz w:val="20"/>
          <w:szCs w:val="20"/>
          <w:color w:val="auto"/>
        </w:rPr>
      </w:pPr>
      <w:r>
        <w:rPr>
          <w:rFonts w:ascii="Arial" w:cs="Arial" w:eastAsia="Arial" w:hAnsi="Arial"/>
          <w:sz w:val="16"/>
          <w:szCs w:val="16"/>
          <w:color w:val="auto"/>
        </w:rPr>
        <w:t>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and the global financial markets. For instance, inflation has negatively impacted us and could continue to negatively impact us by increasing our cost of labor (through higher wages), commercial support, construction, manufacturing and clinical supply expenditures. See above under “—</w:t>
      </w:r>
      <w:r>
        <w:rPr>
          <w:rFonts w:ascii="Arial" w:cs="Arial" w:eastAsia="Arial" w:hAnsi="Arial"/>
          <w:sz w:val="16"/>
          <w:szCs w:val="16"/>
          <w:i w:val="1"/>
          <w:iCs w:val="1"/>
          <w:color w:val="auto"/>
        </w:rPr>
        <w:t>Our manufacturing</w:t>
      </w:r>
      <w:r>
        <w:rPr>
          <w:rFonts w:ascii="Arial" w:cs="Arial" w:eastAsia="Arial" w:hAnsi="Arial"/>
          <w:sz w:val="16"/>
          <w:szCs w:val="16"/>
          <w:color w:val="auto"/>
        </w:rPr>
        <w:t xml:space="preserve"> </w:t>
      </w:r>
      <w:r>
        <w:rPr>
          <w:rFonts w:ascii="Arial" w:cs="Arial" w:eastAsia="Arial" w:hAnsi="Arial"/>
          <w:sz w:val="16"/>
          <w:szCs w:val="16"/>
          <w:i w:val="1"/>
          <w:iCs w:val="1"/>
          <w:color w:val="auto"/>
        </w:rPr>
        <w:t>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r>
        <w:rPr>
          <w:rFonts w:ascii="Arial" w:cs="Arial" w:eastAsia="Arial" w:hAnsi="Arial"/>
          <w:sz w:val="16"/>
          <w:szCs w:val="16"/>
          <w:color w:val="auto"/>
        </w:rPr>
        <w:t>” for the risks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impact of inflation on the construction of our commercial-scale manufacturing facility. Current inflationary pressures, if sustained, could have a negative impact on our operations. 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 Similarly, these macroeconomic factors could affect the ability of our third-party manufacturers, contractors or suppliers to manufacture materials required for our product candidates on a cost effective basis, if at all.</w:t>
      </w:r>
    </w:p>
    <w:p>
      <w:pPr>
        <w:spacing w:after="0" w:line="27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Any acquisitions or strategic collaborations may increase our capital requirements, dilute our stockholders, cause us to incur debt or assume contingent liabilities or subject us to other risks.*</w:t>
      </w:r>
    </w:p>
    <w:p>
      <w:pPr>
        <w:spacing w:after="0" w:line="170"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w:t>
      </w:r>
    </w:p>
    <w:p>
      <w:pPr>
        <w:spacing w:after="0" w:line="76"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scrutiny by the Federal Trade Commission and the Department of Justice;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assumption of indebtedness or contingent or unknown liabilities;</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drugs of an acquired company, including difficulties associated with integrating new personnel;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adequately prosecuting and maintaining protection of any acquired intellectual property rights;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drug programs and initiatives in pursuing such a strategic partnership, merger or acquisition;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about our ability to maintain key business relationships;</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drugs or product candidates and regulatory approvals; and</w:t>
      </w:r>
    </w:p>
    <w:p>
      <w:pPr>
        <w:spacing w:after="0" w:line="62" w:lineRule="exact"/>
        <w:rPr>
          <w:rFonts w:ascii="Arial" w:cs="Arial" w:eastAsia="Arial" w:hAnsi="Arial"/>
          <w:sz w:val="18"/>
          <w:szCs w:val="18"/>
          <w:color w:val="auto"/>
        </w:rPr>
      </w:pPr>
    </w:p>
    <w:p>
      <w:pPr>
        <w:ind w:left="1020" w:right="400" w:hanging="503"/>
        <w:spacing w:after="0" w:line="308"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inability to generate revenue from acquired drugs, intellectual property rights, technologies, and/or businesses sufficient to meet our objectives in undertaking the acquisition or even to offset the associated acquisition and maintenance costs.</w:t>
      </w:r>
    </w:p>
    <w:p>
      <w:pPr>
        <w:spacing w:after="0" w:line="146"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reports or downgrade our stock, the price of our common stock could decline.</w:t>
      </w:r>
    </w:p>
    <w:p>
      <w:pPr>
        <w:spacing w:after="0" w:line="170"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3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new compliance initiatives.</w:t>
      </w:r>
    </w:p>
    <w:p>
      <w:pPr>
        <w:spacing w:after="0" w:line="1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w:t>
      </w:r>
    </w:p>
    <w:p>
      <w:pPr>
        <w:spacing w:after="0" w:line="188"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68"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5" w:name="page76"/>
    <w:bookmarkEnd w:id="75"/>
    <w:p>
      <w:pPr>
        <w:ind w:right="14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18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Changes to, or interpretations of, financial accounting standards may affect our results of operations and could cause us to change our business practices.</w:t>
      </w:r>
    </w:p>
    <w:p>
      <w:pPr>
        <w:spacing w:after="0" w:line="170"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ind w:right="560"/>
        <w:spacing w:after="0" w:line="277" w:lineRule="auto"/>
        <w:rPr>
          <w:sz w:val="20"/>
          <w:szCs w:val="20"/>
          <w:color w:val="auto"/>
        </w:rPr>
      </w:pPr>
      <w:r>
        <w:rPr>
          <w:rFonts w:ascii="Arial" w:cs="Arial" w:eastAsia="Arial" w:hAnsi="Arial"/>
          <w:sz w:val="18"/>
          <w:szCs w:val="18"/>
          <w:b w:val="1"/>
          <w:bCs w:val="1"/>
          <w:i w:val="1"/>
          <w:iCs w:val="1"/>
          <w:color w:val="auto"/>
        </w:rPr>
        <w:t>Computer system interruptions or security breaches could significantly disrupt our product development programs and our ability to operate our business.</w:t>
      </w:r>
    </w:p>
    <w:p>
      <w:pPr>
        <w:spacing w:after="0" w:line="62"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Our internal computer systems, cloud-based computing services and those of our current and any future collaborators and other contractors or consultants are vulnerable to damage or interruption from computer viruses, ransomware, malware, data corruption, cyber-based attacks, phishing attacks, unauthorized access, natural disasters, terrorism, war and telecommunication and electrical failures. While we have taken steps to protect the security of our information systems and the data maintained in those systems, we have, from time to time, experienced cyber incidents of varying degrees, although none of these cyber incidents have had a material adverse impact on our business, financial condition or results of operations. It is possible that in the future our safety and security measures will not prevent the improper functioning or damaging of our systems, or the improper access or disclosure of personally identifiable information, and any such event could materially and adversely impact our business, financial condition or results of operations. In addition, if a significant system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Furthermore, federal, state and international laws and regulations, such as the GDPR, which took effect in May 2018, and the CCPA which took effect on January 1, 2020, as well as the California Consumer Privacy Act, which was passed in November 2020 and makes a number of significant amendments to the CCPA, can expose us to enforcement actions and investigations by regulatory authorities, and potentially result in regulatory penalties and significant legal liability, if our information technology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On July 14, 2020, we completed our IPO. Our registration statement on Form S-1 (File No. 333-239301) relating to the IPO was declared effective by the SEC on July 9, 2020.</w:t>
      </w:r>
    </w:p>
    <w:p>
      <w:pPr>
        <w:spacing w:after="0" w:line="170"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July 13, 2020 pursuant to Rule 424(b)(4) under the Securities Act. As of June 30, 2023, we estimate that we have used $230.0 million from the net proceeds from the IPO primarily to advance our product candidates through preclinical studies and clinical trial programs, the construction of our manufacturing facility, and for working capital and general corporate purposes. We invested the remaining funds received in cash equivalents and other marketable securities in accordance with our investment policy.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6. 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Incorporated by Reference</w:t>
            </w:r>
          </w:p>
        </w:tc>
        <w:tc>
          <w:tcPr>
            <w:tcW w:w="1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tcPr>
          <w:p>
            <w:pPr>
              <w:ind w:left="240"/>
              <w:spacing w:after="0" w:line="133" w:lineRule="exact"/>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16"/>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File No.</w:t>
            </w:r>
          </w:p>
        </w:tc>
        <w:tc>
          <w:tcPr>
            <w:tcW w:w="15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Exhibit</w:t>
            </w:r>
          </w:p>
        </w:tc>
        <w:tc>
          <w:tcPr>
            <w:tcW w:w="17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16"/>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3.1(A)</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Borders>
              <w:bottom w:val="single" w:sz="8" w:color="0000FF"/>
            </w:tcBorders>
            <w:gridSpan w:val="5"/>
          </w:tcPr>
          <w:p>
            <w:pPr>
              <w:spacing w:after="0"/>
              <w:rPr>
                <w:rFonts w:ascii="Arial" w:cs="Arial" w:eastAsia="Arial" w:hAnsi="Arial"/>
                <w:sz w:val="18"/>
                <w:szCs w:val="18"/>
                <w:color w:val="0000FF"/>
                <w:w w:val="90"/>
              </w:rPr>
            </w:pPr>
            <w:hyperlink r:id="rId239">
              <w:r>
                <w:rPr>
                  <w:rFonts w:ascii="Arial" w:cs="Arial" w:eastAsia="Arial" w:hAnsi="Arial"/>
                  <w:sz w:val="18"/>
                  <w:szCs w:val="18"/>
                  <w:color w:val="0000FF"/>
                  <w:w w:val="90"/>
                </w:rPr>
                <w:t>Amended and Restated Certificate of</w:t>
              </w:r>
            </w:hyperlink>
          </w:p>
        </w:tc>
        <w:tc>
          <w:tcPr>
            <w:tcW w:w="960" w:type="dxa"/>
            <w:vAlign w:val="bottom"/>
            <w:gridSpan w:val="13"/>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7/14/2020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8"/>
          </w:tcPr>
          <w:p>
            <w:pPr>
              <w:spacing w:after="0" w:line="196" w:lineRule="exact"/>
              <w:rPr>
                <w:rFonts w:ascii="Arial" w:cs="Arial" w:eastAsia="Arial" w:hAnsi="Arial"/>
                <w:sz w:val="18"/>
                <w:szCs w:val="18"/>
                <w:color w:val="0000FF"/>
              </w:rPr>
            </w:pPr>
            <w:hyperlink r:id="rId239">
              <w:r>
                <w:rPr>
                  <w:rFonts w:ascii="Arial" w:cs="Arial" w:eastAsia="Arial" w:hAnsi="Arial"/>
                  <w:sz w:val="18"/>
                  <w:szCs w:val="18"/>
                  <w:color w:val="0000FF"/>
                </w:rPr>
                <w:t>Incorporation of Nkarta, Inc.</w:t>
              </w:r>
            </w:hyperlink>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3.1(B)</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Borders>
              <w:bottom w:val="single" w:sz="8" w:color="0000FF"/>
            </w:tcBorders>
            <w:gridSpan w:val="6"/>
          </w:tcPr>
          <w:p>
            <w:pPr>
              <w:spacing w:after="0"/>
              <w:rPr>
                <w:rFonts w:ascii="Arial" w:cs="Arial" w:eastAsia="Arial" w:hAnsi="Arial"/>
                <w:sz w:val="18"/>
                <w:szCs w:val="18"/>
                <w:color w:val="0000FF"/>
                <w:w w:val="91"/>
              </w:rPr>
            </w:pPr>
            <w:hyperlink r:id="rId240">
              <w:r>
                <w:rPr>
                  <w:rFonts w:ascii="Arial" w:cs="Arial" w:eastAsia="Arial" w:hAnsi="Arial"/>
                  <w:sz w:val="18"/>
                  <w:szCs w:val="18"/>
                  <w:color w:val="0000FF"/>
                  <w:w w:val="91"/>
                </w:rPr>
                <w:t>Amendment to Restated Certificate of</w:t>
              </w:r>
            </w:hyperlink>
          </w:p>
        </w:tc>
        <w:tc>
          <w:tcPr>
            <w:tcW w:w="880" w:type="dxa"/>
            <w:vAlign w:val="bottom"/>
            <w:gridSpan w:val="12"/>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6/9/2023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8"/>
          </w:tcPr>
          <w:p>
            <w:pPr>
              <w:spacing w:after="0" w:line="196" w:lineRule="exact"/>
              <w:rPr>
                <w:rFonts w:ascii="Arial" w:cs="Arial" w:eastAsia="Arial" w:hAnsi="Arial"/>
                <w:sz w:val="18"/>
                <w:szCs w:val="18"/>
                <w:color w:val="0000FF"/>
              </w:rPr>
            </w:pPr>
            <w:hyperlink r:id="rId240">
              <w:r>
                <w:rPr>
                  <w:rFonts w:ascii="Arial" w:cs="Arial" w:eastAsia="Arial" w:hAnsi="Arial"/>
                  <w:sz w:val="18"/>
                  <w:szCs w:val="18"/>
                  <w:color w:val="0000FF"/>
                </w:rPr>
                <w:t>Incorporation of Nkarta, Inc.</w:t>
              </w:r>
            </w:hyperlink>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gridSpan w:val="18"/>
          </w:tcPr>
          <w:p>
            <w:pPr>
              <w:spacing w:after="0"/>
              <w:rPr>
                <w:rFonts w:ascii="Arial" w:cs="Arial" w:eastAsia="Arial" w:hAnsi="Arial"/>
                <w:sz w:val="18"/>
                <w:szCs w:val="18"/>
                <w:color w:val="0000FF"/>
                <w:w w:val="98"/>
              </w:rPr>
            </w:pPr>
            <w:hyperlink r:id="rId241">
              <w:r>
                <w:rPr>
                  <w:rFonts w:ascii="Arial" w:cs="Arial" w:eastAsia="Arial" w:hAnsi="Arial"/>
                  <w:sz w:val="18"/>
                  <w:szCs w:val="18"/>
                  <w:color w:val="0000FF"/>
                  <w:w w:val="98"/>
                </w:rPr>
                <w:t>Amended and Restated Bylaws of Nkarta, Inc.</w:t>
              </w:r>
            </w:hyperlink>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7/14/2020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2"/>
              </w:rPr>
              <w:t>Employment Offer Letter between Nkarta, Inc.</w:t>
            </w:r>
          </w:p>
        </w:tc>
        <w:tc>
          <w:tcPr>
            <w:tcW w:w="240" w:type="dxa"/>
            <w:vAlign w:val="bottom"/>
            <w:gridSpan w:val="7"/>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8"/>
          </w:tcPr>
          <w:p>
            <w:pPr>
              <w:spacing w:after="0" w:line="196" w:lineRule="exact"/>
              <w:rPr>
                <w:sz w:val="20"/>
                <w:szCs w:val="20"/>
                <w:color w:val="auto"/>
              </w:rPr>
            </w:pPr>
            <w:r>
              <w:rPr>
                <w:rFonts w:ascii="Arial" w:cs="Arial" w:eastAsia="Arial" w:hAnsi="Arial"/>
                <w:sz w:val="18"/>
                <w:szCs w:val="18"/>
                <w:color w:val="0000FF"/>
              </w:rPr>
              <w:t>and Alyssa Levin.</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10.2(A)</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Borders>
              <w:bottom w:val="single" w:sz="8" w:color="0000FF"/>
            </w:tcBorders>
            <w:gridSpan w:val="16"/>
          </w:tcPr>
          <w:p>
            <w:pPr>
              <w:spacing w:after="0"/>
              <w:rPr>
                <w:rFonts w:ascii="Arial" w:cs="Arial" w:eastAsia="Arial" w:hAnsi="Arial"/>
                <w:sz w:val="18"/>
                <w:szCs w:val="18"/>
                <w:color w:val="0000FF"/>
                <w:w w:val="91"/>
              </w:rPr>
            </w:pPr>
            <w:hyperlink r:id="rId242">
              <w:r>
                <w:rPr>
                  <w:rFonts w:ascii="Arial" w:cs="Arial" w:eastAsia="Arial" w:hAnsi="Arial"/>
                  <w:sz w:val="18"/>
                  <w:szCs w:val="18"/>
                  <w:color w:val="0000FF"/>
                  <w:w w:val="91"/>
                </w:rPr>
                <w:t>Third Amendment to Lease, dated April 25, 2023,</w:t>
              </w:r>
            </w:hyperlink>
          </w:p>
        </w:tc>
        <w:tc>
          <w:tcPr>
            <w:tcW w:w="40" w:type="dxa"/>
            <w:vAlign w:val="bottom"/>
            <w:gridSpan w:val="2"/>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5/11/2023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8"/>
          </w:tcPr>
          <w:p>
            <w:pPr>
              <w:spacing w:after="0" w:line="196" w:lineRule="exact"/>
              <w:rPr>
                <w:rFonts w:ascii="Arial" w:cs="Arial" w:eastAsia="Arial" w:hAnsi="Arial"/>
                <w:sz w:val="18"/>
                <w:szCs w:val="18"/>
                <w:color w:val="0000FF"/>
                <w:w w:val="94"/>
              </w:rPr>
            </w:pPr>
            <w:hyperlink r:id="rId242">
              <w:r>
                <w:rPr>
                  <w:rFonts w:ascii="Arial" w:cs="Arial" w:eastAsia="Arial" w:hAnsi="Arial"/>
                  <w:sz w:val="18"/>
                  <w:szCs w:val="18"/>
                  <w:color w:val="0000FF"/>
                  <w:w w:val="94"/>
                </w:rPr>
                <w:t>by and between HCP BTC, LLC and Nkarta, Inc.</w:t>
              </w:r>
            </w:hyperlink>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10.2(B)*</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Fourth Amendment to Lease, dated June 14, 2023,</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8"/>
          </w:tcPr>
          <w:p>
            <w:pPr>
              <w:spacing w:after="0" w:line="196" w:lineRule="exact"/>
              <w:rPr>
                <w:sz w:val="20"/>
                <w:szCs w:val="20"/>
                <w:color w:val="auto"/>
              </w:rPr>
            </w:pPr>
            <w:r>
              <w:rPr>
                <w:rFonts w:ascii="Arial" w:cs="Arial" w:eastAsia="Arial" w:hAnsi="Arial"/>
                <w:sz w:val="18"/>
                <w:szCs w:val="18"/>
                <w:color w:val="0000FF"/>
                <w:w w:val="94"/>
              </w:rPr>
              <w:t>by and between HCP BTC, LLC and Nkarta, Inc.</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5"/>
              </w:rPr>
              <w:t>Certification of Principal Executive Officer</w:t>
            </w:r>
          </w:p>
        </w:tc>
        <w:tc>
          <w:tcPr>
            <w:tcW w:w="380" w:type="dxa"/>
            <w:vAlign w:val="bottom"/>
            <w:tcBorders>
              <w:top w:val="single" w:sz="8" w:color="0000FF"/>
            </w:tcBorders>
            <w:gridSpan w:val="5"/>
          </w:tcPr>
          <w:p>
            <w:pPr>
              <w:spacing w:after="0"/>
              <w:rPr>
                <w:sz w:val="24"/>
                <w:szCs w:val="24"/>
                <w:color w:val="auto"/>
              </w:rPr>
            </w:pPr>
          </w:p>
        </w:tc>
        <w:tc>
          <w:tcPr>
            <w:tcW w:w="120" w:type="dxa"/>
            <w:vAlign w:val="bottom"/>
            <w:gridSpan w:val="5"/>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0"/>
              </w:rPr>
              <w:t>Pursuant to Rules 13a-14(a) and 15d-14(a) under</w:t>
            </w:r>
          </w:p>
        </w:tc>
        <w:tc>
          <w:tcPr>
            <w:tcW w:w="80" w:type="dxa"/>
            <w:vAlign w:val="bottom"/>
            <w:gridSpan w:val="3"/>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0"/>
              </w:rPr>
              <w:t>the Securities Exchange Act of 1934, as Adopted</w:t>
            </w:r>
          </w:p>
        </w:tc>
        <w:tc>
          <w:tcPr>
            <w:tcW w:w="100" w:type="dxa"/>
            <w:vAlign w:val="bottom"/>
            <w:gridSpan w:val="4"/>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89"/>
              </w:rPr>
              <w:t>Pursuant to Section 302 of the Sarbanes-Oxley</w:t>
            </w:r>
          </w:p>
        </w:tc>
        <w:tc>
          <w:tcPr>
            <w:tcW w:w="260" w:type="dxa"/>
            <w:vAlign w:val="bottom"/>
            <w:gridSpan w:val="8"/>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Act of 2002.</w:t>
            </w:r>
          </w:p>
        </w:tc>
        <w:tc>
          <w:tcPr>
            <w:tcW w:w="2760" w:type="dxa"/>
            <w:vAlign w:val="bottom"/>
            <w:gridSpan w:val="17"/>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5"/>
              </w:rPr>
              <w:t>Certification of Principal Financial Officer</w:t>
            </w:r>
          </w:p>
        </w:tc>
        <w:tc>
          <w:tcPr>
            <w:tcW w:w="540" w:type="dxa"/>
            <w:vAlign w:val="bottom"/>
            <w:gridSpan w:val="11"/>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0"/>
              </w:rPr>
              <w:t>Pursuant to Rules 13a-14(a) and 15d-14(a) under</w:t>
            </w:r>
          </w:p>
        </w:tc>
        <w:tc>
          <w:tcPr>
            <w:tcW w:w="80" w:type="dxa"/>
            <w:vAlign w:val="bottom"/>
            <w:gridSpan w:val="3"/>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0"/>
              </w:rPr>
              <w:t>the Securities Exchange Act of 1934, as Adopted</w:t>
            </w:r>
          </w:p>
        </w:tc>
        <w:tc>
          <w:tcPr>
            <w:tcW w:w="100" w:type="dxa"/>
            <w:vAlign w:val="bottom"/>
            <w:gridSpan w:val="4"/>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89"/>
              </w:rPr>
              <w:t>Pursuant to Section 302 of the Sarbanes-Oxley</w:t>
            </w:r>
          </w:p>
        </w:tc>
        <w:tc>
          <w:tcPr>
            <w:tcW w:w="260" w:type="dxa"/>
            <w:vAlign w:val="bottom"/>
            <w:gridSpan w:val="8"/>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Act of 2002.</w:t>
            </w:r>
          </w:p>
        </w:tc>
        <w:tc>
          <w:tcPr>
            <w:tcW w:w="2760" w:type="dxa"/>
            <w:vAlign w:val="bottom"/>
            <w:gridSpan w:val="17"/>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32</w:t>
            </w:r>
            <w:r>
              <w:rPr>
                <w:rFonts w:ascii="Arial" w:cs="Arial" w:eastAsia="Arial" w:hAnsi="Arial"/>
                <w:sz w:val="24"/>
                <w:szCs w:val="24"/>
                <w:color w:val="auto"/>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4"/>
              </w:rPr>
              <w:t>Certification of Principal Executive Officer and</w:t>
            </w:r>
          </w:p>
        </w:tc>
        <w:tc>
          <w:tcPr>
            <w:tcW w:w="200" w:type="dxa"/>
            <w:vAlign w:val="bottom"/>
            <w:gridSpan w:val="6"/>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2"/>
              </w:rPr>
              <w:t>Principal Financial Officer Pursuant to 18 U.S.C.</w:t>
            </w:r>
          </w:p>
        </w:tc>
        <w:tc>
          <w:tcPr>
            <w:tcW w:w="80" w:type="dxa"/>
            <w:vAlign w:val="bottom"/>
            <w:gridSpan w:val="3"/>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FF"/>
            </w:tcBorders>
            <w:gridSpan w:val="17"/>
          </w:tcPr>
          <w:p>
            <w:pPr>
              <w:spacing w:after="0" w:line="196" w:lineRule="exact"/>
              <w:rPr>
                <w:sz w:val="20"/>
                <w:szCs w:val="20"/>
                <w:color w:val="auto"/>
              </w:rPr>
            </w:pPr>
            <w:r>
              <w:rPr>
                <w:rFonts w:ascii="Arial" w:cs="Arial" w:eastAsia="Arial" w:hAnsi="Arial"/>
                <w:sz w:val="18"/>
                <w:szCs w:val="18"/>
                <w:color w:val="0000FF"/>
                <w:w w:val="89"/>
              </w:rPr>
              <w:t>Section 1350, as Adopted Pursuant to Section 906</w:t>
            </w: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8"/>
          </w:tcPr>
          <w:p>
            <w:pPr>
              <w:spacing w:after="0" w:line="196" w:lineRule="exact"/>
              <w:rPr>
                <w:sz w:val="20"/>
                <w:szCs w:val="20"/>
                <w:color w:val="auto"/>
              </w:rPr>
            </w:pPr>
            <w:r>
              <w:rPr>
                <w:rFonts w:ascii="Arial" w:cs="Arial" w:eastAsia="Arial" w:hAnsi="Arial"/>
                <w:sz w:val="18"/>
                <w:szCs w:val="18"/>
                <w:color w:val="0000FF"/>
              </w:rPr>
              <w:t>of the Sarbanes-Oxley Act of 2002.</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98"/>
              </w:rPr>
              <w:t>Inline XBRL Instance Document</w:t>
            </w:r>
          </w:p>
        </w:tc>
        <w:tc>
          <w:tcPr>
            <w:tcW w:w="1120" w:type="dxa"/>
            <w:vAlign w:val="bottom"/>
            <w:gridSpan w:val="14"/>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w:t>
            </w:r>
          </w:p>
        </w:tc>
        <w:tc>
          <w:tcPr>
            <w:tcW w:w="1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w:t>
            </w:r>
          </w:p>
        </w:tc>
        <w:tc>
          <w:tcPr>
            <w:tcW w:w="1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1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w:t>
            </w:r>
          </w:p>
        </w:tc>
        <w:tc>
          <w:tcPr>
            <w:tcW w:w="1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1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w:t>
            </w:r>
          </w:p>
        </w:tc>
        <w:tc>
          <w:tcPr>
            <w:tcW w:w="1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1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w w:val="97"/>
              </w:rPr>
              <w:t>Inline XBRL Taxonomy Extension Presentation</w:t>
            </w:r>
          </w:p>
        </w:tc>
        <w:tc>
          <w:tcPr>
            <w:tcW w:w="1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1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w w:val="98"/>
              </w:rPr>
              <w:t>Cover Page Interactive Data File (formatted as</w:t>
            </w:r>
          </w:p>
        </w:tc>
        <w:tc>
          <w:tcPr>
            <w:tcW w:w="1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Inline XBRL and contained in Exhibit 101)</w:t>
            </w:r>
          </w:p>
        </w:tc>
        <w:tc>
          <w:tcPr>
            <w:tcW w:w="1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12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both"/>
        <w:ind w:left="-8" w:firstLine="8"/>
        <w:spacing w:after="0" w:line="247" w:lineRule="auto"/>
        <w:tabs>
          <w:tab w:leader="none" w:pos="90" w:val="left"/>
        </w:tabs>
        <w:numPr>
          <w:ilvl w:val="0"/>
          <w:numId w:val="38"/>
        </w:numPr>
        <w:rPr>
          <w:rFonts w:ascii="Arial" w:cs="Arial" w:eastAsia="Arial" w:hAnsi="Arial"/>
          <w:sz w:val="23"/>
          <w:szCs w:val="23"/>
          <w:color w:val="auto"/>
          <w:vertAlign w:val="superscript"/>
        </w:rPr>
      </w:pPr>
      <w:r>
        <w:rPr>
          <w:rFonts w:ascii="Arial" w:cs="Arial" w:eastAsia="Arial" w:hAnsi="Arial"/>
          <w:sz w:val="17"/>
          <w:szCs w:val="17"/>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55"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2"/>
          </w:cols>
          <w:pgMar w:left="328" w:top="185" w:right="51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3420" w:type="dxa"/>
            <w:vAlign w:val="bottom"/>
            <w:gridSpan w:val="2"/>
          </w:tcPr>
          <w:p>
            <w:pPr>
              <w:ind w:left="1980"/>
              <w:spacing w:after="0"/>
              <w:rPr>
                <w:sz w:val="20"/>
                <w:szCs w:val="20"/>
                <w:color w:val="auto"/>
              </w:rPr>
            </w:pPr>
            <w:r>
              <w:rPr>
                <w:rFonts w:ascii="Arial" w:cs="Arial" w:eastAsia="Arial" w:hAnsi="Arial"/>
                <w:sz w:val="18"/>
                <w:szCs w:val="18"/>
                <w:color w:val="auto"/>
              </w:rPr>
              <w:t>Nkarta, Inc.</w:t>
            </w:r>
          </w:p>
        </w:tc>
        <w:tc>
          <w:tcPr>
            <w:tcW w:w="4220" w:type="dxa"/>
            <w:vAlign w:val="bottom"/>
          </w:tcPr>
          <w:p>
            <w:pPr>
              <w:spacing w:after="0"/>
              <w:rPr>
                <w:sz w:val="20"/>
                <w:szCs w:val="20"/>
                <w:color w:val="auto"/>
              </w:rPr>
            </w:pPr>
          </w:p>
        </w:tc>
      </w:tr>
      <w:tr>
        <w:trPr>
          <w:trHeight w:val="499"/>
        </w:trPr>
        <w:tc>
          <w:tcPr>
            <w:tcW w:w="3580" w:type="dxa"/>
            <w:vAlign w:val="bottom"/>
          </w:tcPr>
          <w:p>
            <w:pPr>
              <w:spacing w:after="0"/>
              <w:rPr>
                <w:sz w:val="20"/>
                <w:szCs w:val="20"/>
                <w:color w:val="auto"/>
              </w:rPr>
            </w:pPr>
            <w:r>
              <w:rPr>
                <w:rFonts w:ascii="Arial" w:cs="Arial" w:eastAsia="Arial" w:hAnsi="Arial"/>
                <w:sz w:val="18"/>
                <w:szCs w:val="18"/>
                <w:color w:val="auto"/>
              </w:rPr>
              <w:t>Date: August 10, 2023</w:t>
            </w:r>
          </w:p>
        </w:tc>
        <w:tc>
          <w:tcPr>
            <w:tcW w:w="3420" w:type="dxa"/>
            <w:vAlign w:val="bottom"/>
            <w:gridSpan w:val="2"/>
          </w:tcPr>
          <w:p>
            <w:pPr>
              <w:ind w:left="1980"/>
              <w:spacing w:after="0"/>
              <w:rPr>
                <w:sz w:val="20"/>
                <w:szCs w:val="20"/>
                <w:color w:val="auto"/>
              </w:rPr>
            </w:pPr>
            <w:r>
              <w:rPr>
                <w:rFonts w:ascii="Arial" w:cs="Arial" w:eastAsia="Arial" w:hAnsi="Arial"/>
                <w:sz w:val="18"/>
                <w:szCs w:val="18"/>
                <w:color w:val="auto"/>
              </w:rPr>
              <w:t>By:</w:t>
            </w:r>
          </w:p>
        </w:tc>
        <w:tc>
          <w:tcPr>
            <w:tcW w:w="4220" w:type="dxa"/>
            <w:vAlign w:val="bottom"/>
          </w:tcPr>
          <w:p>
            <w:pPr>
              <w:jc w:val="center"/>
              <w:ind w:right="890"/>
              <w:spacing w:after="0"/>
              <w:rPr>
                <w:sz w:val="20"/>
                <w:szCs w:val="20"/>
                <w:color w:val="auto"/>
              </w:rPr>
            </w:pPr>
            <w:r>
              <w:rPr>
                <w:rFonts w:ascii="Arial" w:cs="Arial" w:eastAsia="Arial" w:hAnsi="Arial"/>
                <w:sz w:val="18"/>
                <w:szCs w:val="18"/>
                <w:color w:val="auto"/>
                <w:w w:val="88"/>
              </w:rPr>
              <w:t>/s/ Paul J. Hastings</w:t>
            </w:r>
          </w:p>
        </w:tc>
      </w:tr>
      <w:tr>
        <w:trPr>
          <w:trHeight w:val="224"/>
        </w:trPr>
        <w:tc>
          <w:tcPr>
            <w:tcW w:w="35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220" w:type="dxa"/>
            <w:vAlign w:val="bottom"/>
            <w:tcBorders>
              <w:top w:val="single" w:sz="8" w:color="auto"/>
            </w:tcBorders>
          </w:tcPr>
          <w:p>
            <w:pPr>
              <w:jc w:val="center"/>
              <w:ind w:right="890"/>
              <w:spacing w:after="0"/>
              <w:rPr>
                <w:sz w:val="20"/>
                <w:szCs w:val="20"/>
                <w:color w:val="auto"/>
              </w:rPr>
            </w:pPr>
            <w:r>
              <w:rPr>
                <w:rFonts w:ascii="Arial" w:cs="Arial" w:eastAsia="Arial" w:hAnsi="Arial"/>
                <w:sz w:val="18"/>
                <w:szCs w:val="18"/>
                <w:color w:val="auto"/>
                <w:w w:val="89"/>
              </w:rPr>
              <w:t>Paul J. Hastings</w:t>
            </w:r>
          </w:p>
        </w:tc>
      </w:tr>
      <w:tr>
        <w:trPr>
          <w:trHeight w:val="242"/>
        </w:trPr>
        <w:tc>
          <w:tcPr>
            <w:tcW w:w="35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20" w:type="dxa"/>
            <w:vAlign w:val="bottom"/>
          </w:tcPr>
          <w:p>
            <w:pPr>
              <w:jc w:val="center"/>
              <w:ind w:right="890"/>
              <w:spacing w:after="0"/>
              <w:rPr>
                <w:sz w:val="20"/>
                <w:szCs w:val="20"/>
                <w:color w:val="auto"/>
              </w:rPr>
            </w:pPr>
            <w:r>
              <w:rPr>
                <w:rFonts w:ascii="Arial" w:cs="Arial" w:eastAsia="Arial" w:hAnsi="Arial"/>
                <w:sz w:val="18"/>
                <w:szCs w:val="18"/>
                <w:color w:val="auto"/>
                <w:w w:val="93"/>
              </w:rPr>
              <w:t>Chief Executive Officer</w:t>
            </w:r>
          </w:p>
        </w:tc>
      </w:tr>
      <w:tr>
        <w:trPr>
          <w:trHeight w:val="243"/>
        </w:trPr>
        <w:tc>
          <w:tcPr>
            <w:tcW w:w="35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20" w:type="dxa"/>
            <w:vAlign w:val="bottom"/>
          </w:tcPr>
          <w:p>
            <w:pPr>
              <w:jc w:val="center"/>
              <w:ind w:right="890"/>
              <w:spacing w:after="0"/>
              <w:rPr>
                <w:sz w:val="20"/>
                <w:szCs w:val="20"/>
                <w:color w:val="auto"/>
              </w:rPr>
            </w:pPr>
            <w:r>
              <w:rPr>
                <w:rFonts w:ascii="Arial" w:cs="Arial" w:eastAsia="Arial" w:hAnsi="Arial"/>
                <w:sz w:val="18"/>
                <w:szCs w:val="18"/>
                <w:color w:val="auto"/>
                <w:w w:val="93"/>
              </w:rPr>
              <w:t>(Principal Executive Officer)</w:t>
            </w:r>
          </w:p>
        </w:tc>
      </w:tr>
      <w:tr>
        <w:trPr>
          <w:trHeight w:val="499"/>
        </w:trPr>
        <w:tc>
          <w:tcPr>
            <w:tcW w:w="3580" w:type="dxa"/>
            <w:vAlign w:val="bottom"/>
          </w:tcPr>
          <w:p>
            <w:pPr>
              <w:spacing w:after="0"/>
              <w:rPr>
                <w:sz w:val="20"/>
                <w:szCs w:val="20"/>
                <w:color w:val="auto"/>
              </w:rPr>
            </w:pPr>
            <w:r>
              <w:rPr>
                <w:rFonts w:ascii="Arial" w:cs="Arial" w:eastAsia="Arial" w:hAnsi="Arial"/>
                <w:sz w:val="18"/>
                <w:szCs w:val="18"/>
                <w:color w:val="auto"/>
              </w:rPr>
              <w:t>Date: August 10, 2023</w:t>
            </w:r>
          </w:p>
        </w:tc>
        <w:tc>
          <w:tcPr>
            <w:tcW w:w="3420" w:type="dxa"/>
            <w:vAlign w:val="bottom"/>
            <w:gridSpan w:val="2"/>
          </w:tcPr>
          <w:p>
            <w:pPr>
              <w:ind w:left="1980"/>
              <w:spacing w:after="0"/>
              <w:rPr>
                <w:sz w:val="20"/>
                <w:szCs w:val="20"/>
                <w:color w:val="auto"/>
              </w:rPr>
            </w:pPr>
            <w:r>
              <w:rPr>
                <w:rFonts w:ascii="Arial" w:cs="Arial" w:eastAsia="Arial" w:hAnsi="Arial"/>
                <w:sz w:val="18"/>
                <w:szCs w:val="18"/>
                <w:color w:val="auto"/>
              </w:rPr>
              <w:t>By:</w:t>
            </w:r>
          </w:p>
        </w:tc>
        <w:tc>
          <w:tcPr>
            <w:tcW w:w="4220" w:type="dxa"/>
            <w:vAlign w:val="bottom"/>
          </w:tcPr>
          <w:p>
            <w:pPr>
              <w:jc w:val="center"/>
              <w:ind w:right="890"/>
              <w:spacing w:after="0"/>
              <w:rPr>
                <w:sz w:val="20"/>
                <w:szCs w:val="20"/>
                <w:color w:val="auto"/>
              </w:rPr>
            </w:pPr>
            <w:r>
              <w:rPr>
                <w:rFonts w:ascii="Arial" w:cs="Arial" w:eastAsia="Arial" w:hAnsi="Arial"/>
                <w:sz w:val="18"/>
                <w:szCs w:val="18"/>
                <w:color w:val="auto"/>
                <w:w w:val="92"/>
              </w:rPr>
              <w:t>/s/ Alyssa Levin</w:t>
            </w:r>
          </w:p>
        </w:tc>
      </w:tr>
      <w:tr>
        <w:trPr>
          <w:trHeight w:val="224"/>
        </w:trPr>
        <w:tc>
          <w:tcPr>
            <w:tcW w:w="35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220" w:type="dxa"/>
            <w:vAlign w:val="bottom"/>
            <w:tcBorders>
              <w:top w:val="single" w:sz="8" w:color="auto"/>
            </w:tcBorders>
          </w:tcPr>
          <w:p>
            <w:pPr>
              <w:jc w:val="center"/>
              <w:ind w:right="890"/>
              <w:spacing w:after="0"/>
              <w:rPr>
                <w:sz w:val="20"/>
                <w:szCs w:val="20"/>
                <w:color w:val="auto"/>
              </w:rPr>
            </w:pPr>
            <w:r>
              <w:rPr>
                <w:rFonts w:ascii="Arial" w:cs="Arial" w:eastAsia="Arial" w:hAnsi="Arial"/>
                <w:sz w:val="18"/>
                <w:szCs w:val="18"/>
                <w:color w:val="auto"/>
                <w:w w:val="94"/>
              </w:rPr>
              <w:t>Alyssa Levin</w:t>
            </w:r>
          </w:p>
        </w:tc>
      </w:tr>
    </w:tbl>
    <w:p>
      <w:pPr>
        <w:spacing w:after="0" w:line="12"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Chief Financial and Business Officer</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ind w:left="10220"/>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209040" cy="3086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1209040" cy="30861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185F7F"/>
        </w:rPr>
        <w:t>Nkarta,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85F7F"/>
        </w:rPr>
        <w:t>6000 Shoreline Court, Suite 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5F7F"/>
        </w:rPr>
        <w:t>South San Francisco, CA 94080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June 29, 2023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Alyssa Levin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Via Electronic Delivery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Alyssa,</w:t>
      </w:r>
    </w:p>
    <w:p>
      <w:pPr>
        <w:spacing w:after="0" w:line="206" w:lineRule="exact"/>
        <w:rPr>
          <w:sz w:val="20"/>
          <w:szCs w:val="20"/>
          <w:color w:val="auto"/>
        </w:rPr>
      </w:pPr>
    </w:p>
    <w:p>
      <w:pPr>
        <w:jc w:val="both"/>
        <w:ind w:right="240"/>
        <w:spacing w:after="0" w:line="252" w:lineRule="auto"/>
        <w:rPr>
          <w:sz w:val="20"/>
          <w:szCs w:val="20"/>
          <w:color w:val="auto"/>
        </w:rPr>
      </w:pPr>
      <w:r>
        <w:rPr>
          <w:rFonts w:ascii="Arial" w:cs="Arial" w:eastAsia="Arial" w:hAnsi="Arial"/>
          <w:sz w:val="21"/>
          <w:szCs w:val="21"/>
          <w:color w:val="auto"/>
        </w:rPr>
        <w:t>I am pleased to offer you a position with Nkarta, Inc. (the “</w:t>
      </w:r>
      <w:r>
        <w:rPr>
          <w:rFonts w:ascii="Arial" w:cs="Arial" w:eastAsia="Arial" w:hAnsi="Arial"/>
          <w:sz w:val="21"/>
          <w:szCs w:val="21"/>
          <w:u w:val="single" w:color="auto"/>
          <w:color w:val="auto"/>
        </w:rPr>
        <w:t>Company</w:t>
      </w:r>
      <w:r>
        <w:rPr>
          <w:rFonts w:ascii="Arial" w:cs="Arial" w:eastAsia="Arial" w:hAnsi="Arial"/>
          <w:sz w:val="21"/>
          <w:szCs w:val="21"/>
          <w:color w:val="auto"/>
        </w:rPr>
        <w:t>”), as Chief Financial and Business Officer (“</w:t>
      </w:r>
      <w:r>
        <w:rPr>
          <w:rFonts w:ascii="Arial" w:cs="Arial" w:eastAsia="Arial" w:hAnsi="Arial"/>
          <w:sz w:val="21"/>
          <w:szCs w:val="21"/>
          <w:u w:val="single" w:color="auto"/>
          <w:color w:val="auto"/>
        </w:rPr>
        <w:t>CFBO</w:t>
      </w:r>
      <w:r>
        <w:rPr>
          <w:rFonts w:ascii="Arial" w:cs="Arial" w:eastAsia="Arial" w:hAnsi="Arial"/>
          <w:sz w:val="21"/>
          <w:szCs w:val="21"/>
          <w:color w:val="auto"/>
        </w:rPr>
        <w:t>”) and reporting to Paul Hastings, Chief Executive Officer. Your employment with the Company will commence on July 1, 2023 (the “</w:t>
      </w:r>
      <w:r>
        <w:rPr>
          <w:rFonts w:ascii="Arial" w:cs="Arial" w:eastAsia="Arial" w:hAnsi="Arial"/>
          <w:sz w:val="21"/>
          <w:szCs w:val="21"/>
          <w:u w:val="single" w:color="auto"/>
          <w:color w:val="auto"/>
        </w:rPr>
        <w:t>Start Date</w:t>
      </w:r>
      <w:r>
        <w:rPr>
          <w:rFonts w:ascii="Arial" w:cs="Arial" w:eastAsia="Arial" w:hAnsi="Arial"/>
          <w:sz w:val="21"/>
          <w:szCs w:val="21"/>
          <w:color w:val="auto"/>
        </w:rPr>
        <w:t>”). Effective as of the Start Date, you will receive an annual base salary of $450,000 (the “</w:t>
      </w:r>
      <w:r>
        <w:rPr>
          <w:rFonts w:ascii="Arial" w:cs="Arial" w:eastAsia="Arial" w:hAnsi="Arial"/>
          <w:sz w:val="21"/>
          <w:szCs w:val="21"/>
          <w:u w:val="single" w:color="auto"/>
          <w:color w:val="auto"/>
        </w:rPr>
        <w:t>Base Salary</w:t>
      </w:r>
      <w:r>
        <w:rPr>
          <w:rFonts w:ascii="Arial" w:cs="Arial" w:eastAsia="Arial" w:hAnsi="Arial"/>
          <w:sz w:val="21"/>
          <w:szCs w:val="21"/>
          <w:color w:val="auto"/>
        </w:rPr>
        <w:t>”), which will be paid in accordance with the Company’s then existing payroll procedures.</w:t>
      </w:r>
    </w:p>
    <w:p>
      <w:pPr>
        <w:spacing w:after="0" w:line="174"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You will receive a sign on bonus of $20,000, less required and designated payroll deductions and withholdings, to be paid within the first 30 days after your Start Date; provided that this bonus will not be considered earned or vested unless you remain employed with the Company for one year after your Start Date or the Company terminates your employment without Cause (as such term is defined in the Severance Agreement referenced below) before the first anniversary of your Start Date. If your employment with the Company ends before the first anniversary of your Start Date (other than as a result of a termination by the Company without Cause), you agree that you will immediately re-pay to the Company the amount of the sign on bonus ($20,000).</w:t>
      </w:r>
    </w:p>
    <w:p>
      <w:pPr>
        <w:spacing w:after="0" w:line="191"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You have indicated, and the Company accepts, that your services as CFBO will be primarily performed remotely from San Diego, California. Intermittent travel to and from the Company’s headquarters in South San Francisco, California, or elsewhere in the U.S. or abroad, will be required, and pre-approved expenses related to transportation and lodging for such travel will be reimbursed by the Company, subject to and in accordance with the Company’s expense policies.</w:t>
      </w:r>
    </w:p>
    <w:p>
      <w:pPr>
        <w:spacing w:after="0" w:line="174"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 xml:space="preserve">Each year during the term of your employment, you will be eligible for a bonus of up to forty percent (40%) of your then existing Base Salary based on achievement of performance objectives to be determined by the Board of Directors or a committee thereof (the “ </w:t>
      </w:r>
      <w:r>
        <w:rPr>
          <w:rFonts w:ascii="Arial" w:cs="Arial" w:eastAsia="Arial" w:hAnsi="Arial"/>
          <w:sz w:val="21"/>
          <w:szCs w:val="21"/>
          <w:u w:val="single" w:color="auto"/>
          <w:color w:val="auto"/>
        </w:rPr>
        <w:t>Board</w:t>
      </w:r>
      <w:r>
        <w:rPr>
          <w:rFonts w:ascii="Arial" w:cs="Arial" w:eastAsia="Arial" w:hAnsi="Arial"/>
          <w:sz w:val="21"/>
          <w:szCs w:val="21"/>
          <w:color w:val="auto"/>
        </w:rPr>
        <w:t xml:space="preserve"> ”). Any bonuses will be subject to your continued employment with the Company through the date the bonus is paid, in no event later than March 15 of the calendar year following the calendar year as to which the bonus relates. As an employee, you will also be eligible for standard Company benefits in accordance with Company policy, subject in each case to the generally applicable terms and conditions of the applicable benefit plan and to the determinations of any person or committee administering such plan. You will be entitled to paid time off in accordance with the Company’s time-off policy, the timing and duration of such time off to be mutually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3" w:name="page84"/>
    <w:bookmarkEnd w:id="83"/>
    <w:p>
      <w:pPr>
        <w:ind w:right="260"/>
        <w:spacing w:after="0" w:line="297" w:lineRule="auto"/>
        <w:rPr>
          <w:sz w:val="20"/>
          <w:szCs w:val="20"/>
          <w:color w:val="auto"/>
        </w:rPr>
      </w:pPr>
      <w:r>
        <w:rPr>
          <w:rFonts w:ascii="Arial" w:cs="Arial" w:eastAsia="Arial" w:hAnsi="Arial"/>
          <w:sz w:val="19"/>
          <w:szCs w:val="19"/>
          <w:color w:val="auto"/>
        </w:rPr>
        <w:t>reasonably agreed to between you and the Company. The Company will also reimburse any of your expenses associated with Company business, subject to and in accordance with the Company’s expense policies. You should note that the Company may modify salaries, benefits and its policies from time to time as it deems necessary or appropriate.</w:t>
      </w:r>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If you decide to join the Company, the Company will recommend that the Board grant you an option (the “</w:t>
      </w:r>
      <w:r>
        <w:rPr>
          <w:rFonts w:ascii="Arial" w:cs="Arial" w:eastAsia="Arial" w:hAnsi="Arial"/>
          <w:sz w:val="19"/>
          <w:szCs w:val="19"/>
          <w:u w:val="single" w:color="auto"/>
          <w:color w:val="auto"/>
        </w:rPr>
        <w:t>Option</w:t>
      </w:r>
      <w:r>
        <w:rPr>
          <w:rFonts w:ascii="Arial" w:cs="Arial" w:eastAsia="Arial" w:hAnsi="Arial"/>
          <w:sz w:val="19"/>
          <w:szCs w:val="19"/>
          <w:color w:val="auto"/>
        </w:rPr>
        <w:t>”) to purchase 442,400 shares (subject to customary adjustments for stock splits, reverse splits, stock dividends and similar events after the date hereof) of the Company’s common stock (“</w:t>
      </w:r>
      <w:r>
        <w:rPr>
          <w:rFonts w:ascii="Arial" w:cs="Arial" w:eastAsia="Arial" w:hAnsi="Arial"/>
          <w:sz w:val="19"/>
          <w:szCs w:val="19"/>
          <w:u w:val="single" w:color="auto"/>
          <w:color w:val="auto"/>
        </w:rPr>
        <w:t>Common Stock</w:t>
      </w:r>
      <w:r>
        <w:rPr>
          <w:rFonts w:ascii="Arial" w:cs="Arial" w:eastAsia="Arial" w:hAnsi="Arial"/>
          <w:sz w:val="19"/>
          <w:szCs w:val="19"/>
          <w:color w:val="auto"/>
        </w:rPr>
        <w:t>”) at a price per share equal to the closing price (in regular trading) of a share of Common Stock on the date of grant of the Option (or, if the date of grant of the Option is not a trading day, as of the most recent trading day prior to the date of grant of the Option). Twenty-five percent (25%) of the Option will vest and be exercisable on the first anniversary of the Start Date, subject to your continuing employment with the Company through that date, and none of the Option will vest before such date. The remaining Option will vest monthly over the next thirty-six (36) months in equal installments, subject in each case to your continuing employment with the Company through the applicable vesting date. The Option will be granted under the Company’s equity incentive plan and will be subject to such further terms and conditions as set forth in such plan and in a written stock option agreement to be entered into by the Company and you to evidence the Option.</w:t>
      </w:r>
    </w:p>
    <w:p>
      <w:pPr>
        <w:spacing w:after="0" w:line="161" w:lineRule="exact"/>
        <w:rPr>
          <w:sz w:val="20"/>
          <w:szCs w:val="20"/>
          <w:color w:val="auto"/>
        </w:rPr>
      </w:pPr>
    </w:p>
    <w:p>
      <w:pPr>
        <w:ind w:right="280"/>
        <w:spacing w:after="0" w:line="282" w:lineRule="auto"/>
        <w:rPr>
          <w:sz w:val="20"/>
          <w:szCs w:val="20"/>
          <w:color w:val="auto"/>
        </w:rPr>
      </w:pPr>
      <w:r>
        <w:rPr>
          <w:rFonts w:ascii="Arial" w:cs="Arial" w:eastAsia="Arial" w:hAnsi="Arial"/>
          <w:sz w:val="19"/>
          <w:szCs w:val="19"/>
          <w:color w:val="auto"/>
        </w:rPr>
        <w:t>Effective as of your Start Date, the Company will offer you a Severance Agreement in the form that the Company has entered into with other non-CEO C-suite officers of the Company (the “</w:t>
      </w:r>
      <w:r>
        <w:rPr>
          <w:rFonts w:ascii="Arial" w:cs="Arial" w:eastAsia="Arial" w:hAnsi="Arial"/>
          <w:sz w:val="19"/>
          <w:szCs w:val="19"/>
          <w:u w:val="single" w:color="auto"/>
          <w:color w:val="auto"/>
        </w:rPr>
        <w:t>Severance Agreement</w:t>
      </w:r>
      <w:r>
        <w:rPr>
          <w:rFonts w:ascii="Arial" w:cs="Arial" w:eastAsia="Arial" w:hAnsi="Arial"/>
          <w:sz w:val="19"/>
          <w:szCs w:val="19"/>
          <w:color w:val="auto"/>
        </w:rPr>
        <w:t>”). Your severance period under the Severance Agreement will be nine months for an Involuntary Termination (as defined in the Severance Agreement) not in connection with or within one year following a Change in Control (as defined in the Severance Agreement) and twelve months for an Involuntary Termination in connection with or within one year following a Change in Control.</w:t>
      </w:r>
    </w:p>
    <w:p>
      <w:pPr>
        <w:spacing w:after="0" w:line="147"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The Company is excited about your joining and looks forward to a beneficial and productive relationship. Nevertheless, you should be aware that your employment with the Company is for no specified period and constitutes at 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(2) weeks’ advance notice.</w:t>
      </w:r>
    </w:p>
    <w:p>
      <w:pPr>
        <w:spacing w:after="0" w:line="178" w:lineRule="exact"/>
        <w:rPr>
          <w:sz w:val="20"/>
          <w:szCs w:val="20"/>
          <w:color w:val="auto"/>
        </w:rPr>
      </w:pPr>
    </w:p>
    <w:p>
      <w:pPr>
        <w:ind w:right="140"/>
        <w:spacing w:after="0" w:line="246" w:lineRule="auto"/>
        <w:rPr>
          <w:sz w:val="20"/>
          <w:szCs w:val="20"/>
          <w:color w:val="auto"/>
        </w:rPr>
      </w:pPr>
      <w:r>
        <w:rPr>
          <w:rFonts w:ascii="Arial" w:cs="Arial" w:eastAsia="Arial" w:hAnsi="Arial"/>
          <w:sz w:val="21"/>
          <w:szCs w:val="21"/>
          <w:color w:val="auto"/>
        </w:rPr>
        <w:t>If you terminate, or if the Company terminates, your employment for any reason (with or without cause), then (except as otherwise provided in the circumstances in your Severance Agreement) you will be entitled to receive only: (i) any earned but unpaid base salary as of the date of termination; (ii) reimbursement for all reasonable and pre-approved necessary expenses incurred by you in connection with your performance of services on behalf of the Company while you are employed with the Company (subject to providing reasonable and timely documentation of such expenses and to the extent such expenses are reimbursable under the Company’s expense policies), payable in accordance with applicable Company policies and procedures; and (iii) your vested and unpaid benefits (if any) pursuant to any Company benefit plan, payable in accordance with the terms of the applicable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4" w:name="page85"/>
    <w:bookmarkEnd w:id="84"/>
    <w:p>
      <w:pPr>
        <w:ind w:right="180"/>
        <w:spacing w:after="0" w:line="297" w:lineRule="auto"/>
        <w:rPr>
          <w:sz w:val="20"/>
          <w:szCs w:val="20"/>
          <w:color w:val="auto"/>
        </w:rPr>
      </w:pPr>
      <w:r>
        <w:rPr>
          <w:rFonts w:ascii="Arial" w:cs="Arial" w:eastAsia="Arial" w:hAnsi="Arial"/>
          <w:sz w:val="19"/>
          <w:szCs w:val="19"/>
          <w:color w:val="auto"/>
        </w:rPr>
        <w:t>The Company reserves the right to conduct background investigations and/or reference checks on all of its potential employees. Your job offer, therefore, is contingent upon a clearance of such a background investigation and/or reference check, if any. In addition, your position and the compensation levels provided for in this letter are subject to the approval of the Board.</w:t>
      </w:r>
    </w:p>
    <w:p>
      <w:pPr>
        <w:spacing w:after="0" w:line="134"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For purposes of federal immigration law, you will be required to provide to the Company documentary evidence of your identity and eligibility for employment in the United States. Please bring such documentation with you on your Start Date or our employment relationship with you may be terminated.</w:t>
      </w:r>
    </w:p>
    <w:p>
      <w:pPr>
        <w:spacing w:after="0" w:line="186"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and will not interfere with your performance of, the duties of your position and you represent that such is the case. Moreover, you agree that, while you are employed with the Company, you will not engage in any other employment, occupation, consulting or other business activity directly related to the business in which the Company is now involved or becomes involved during the period of your employment, nor will you engage in any other activities that conflict with your obligations to the Company. Similarly, you agree not to bring any third-party confidential information to the Company, including that of your former employer, and that in performing your duties for the Company you will not in any way utilize any such information.</w:t>
      </w:r>
    </w:p>
    <w:p>
      <w:pPr>
        <w:spacing w:after="0" w:line="158"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As a condition of your employment and prior to the Start Date, you are also required to sign the Company’s At Will Employment, Confidential Information, Invention Assignment and Arbitration Agreement (“</w:t>
      </w:r>
      <w:r>
        <w:rPr>
          <w:rFonts w:ascii="Arial" w:cs="Arial" w:eastAsia="Arial" w:hAnsi="Arial"/>
          <w:sz w:val="21"/>
          <w:szCs w:val="21"/>
          <w:u w:val="single" w:color="auto"/>
          <w:color w:val="auto"/>
        </w:rPr>
        <w:t>Confidentiality Agreement</w:t>
      </w:r>
      <w:r>
        <w:rPr>
          <w:rFonts w:ascii="Arial" w:cs="Arial" w:eastAsia="Arial" w:hAnsi="Arial"/>
          <w:sz w:val="21"/>
          <w:szCs w:val="21"/>
          <w:color w:val="auto"/>
        </w:rPr>
        <w:t>”) which requires, among other provisions, the assignment of patent rights to any invention made during your employment at the Company, non-disclosure of Company proprietary information, and that in the event of any dispute or claim relating to or arising out of our employment relationship, you and the Company agree that any and all disputes between you and the Company will be fully and finally resolved by binding arbitration. Please note that we must receive your signed Confidentiality Agreement before your first day of employment. Your continued employment with the Company is subject to your ongoing compliance with your obligations under the Confidentiality Agreement and your compliance with all other Company policies, as they are in effect from time to time.</w:t>
      </w:r>
    </w:p>
    <w:p>
      <w:pPr>
        <w:spacing w:after="0" w:line="18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This letter and all of your rights and obligations hereunder are personal to you and may not be transferred or assigned by you at any time. The Company may assign its rights under this letter to a parent or affiliated company or to an entity that assumes the Company’s obligations hereunder in connection with a sale or transfer of all or a substantial portion of the Company’s business or assets.</w:t>
      </w:r>
    </w:p>
    <w:p>
      <w:pPr>
        <w:spacing w:after="0" w:line="185" w:lineRule="exact"/>
        <w:rPr>
          <w:sz w:val="20"/>
          <w:szCs w:val="20"/>
          <w:color w:val="auto"/>
        </w:rPr>
      </w:pPr>
    </w:p>
    <w:p>
      <w:pPr>
        <w:ind w:right="20"/>
        <w:spacing w:after="0" w:line="249" w:lineRule="exact"/>
        <w:rPr>
          <w:sz w:val="20"/>
          <w:szCs w:val="20"/>
          <w:color w:val="auto"/>
        </w:rPr>
      </w:pPr>
      <w:r>
        <w:rPr>
          <w:rFonts w:ascii="Arial" w:cs="Arial" w:eastAsia="Arial" w:hAnsi="Arial"/>
          <w:sz w:val="22"/>
          <w:szCs w:val="22"/>
          <w:color w:val="auto"/>
        </w:rPr>
        <w:t>To accept the Company’s offer, please sign and date this letter agreement in the space provided below and return it to the sender before the deadline indicated below. This letter, along with the Confidentiality Agreement set forth the terms of your employment with the Company and supersede any prior representations or agreements including, but not limited to, any representations made during your recruitment, interviews or pre</w:t>
      </w:r>
      <w:r>
        <w:rPr>
          <w:rFonts w:ascii="MS PGothic" w:cs="MS PGothic" w:eastAsia="MS PGothic" w:hAnsi="MS PGothic"/>
          <w:sz w:val="22"/>
          <w:szCs w:val="22"/>
          <w:color w:val="auto"/>
        </w:rPr>
        <w:t>‑</w:t>
      </w:r>
      <w:r>
        <w:rPr>
          <w:rFonts w:ascii="Arial" w:cs="Arial" w:eastAsia="Arial" w:hAnsi="Arial"/>
          <w:sz w:val="22"/>
          <w:szCs w:val="22"/>
          <w:color w:val="auto"/>
        </w:rPr>
        <w:t>employment negotiations, whether written or oral. This letter, including, but not limited to, its at</w:t>
      </w:r>
      <w:r>
        <w:rPr>
          <w:rFonts w:ascii="MS PGothic" w:cs="MS PGothic" w:eastAsia="MS PGothic" w:hAnsi="MS PGothic"/>
          <w:sz w:val="22"/>
          <w:szCs w:val="22"/>
          <w:color w:val="auto"/>
        </w:rPr>
        <w:t>‑</w:t>
      </w:r>
      <w:r>
        <w:rPr>
          <w:rFonts w:ascii="Arial" w:cs="Arial" w:eastAsia="Arial" w:hAnsi="Arial"/>
          <w:sz w:val="22"/>
          <w:szCs w:val="22"/>
          <w:color w:val="auto"/>
        </w:rPr>
        <w:t>will employment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5" w:name="page86"/>
    <w:bookmarkEnd w:id="85"/>
    <w:p>
      <w:pPr>
        <w:spacing w:after="0"/>
        <w:rPr>
          <w:sz w:val="20"/>
          <w:szCs w:val="20"/>
          <w:color w:val="auto"/>
        </w:rPr>
      </w:pPr>
      <w:r>
        <w:rPr>
          <w:rFonts w:ascii="Arial" w:cs="Arial" w:eastAsia="Arial" w:hAnsi="Arial"/>
          <w:sz w:val="19"/>
          <w:szCs w:val="19"/>
          <w:color w:val="auto"/>
        </w:rPr>
        <w:t>provision, may not be modified or amended except by a written agreement signed by authorized officer of the Company and you.</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This offer of employment will expire if we don’t receive your signed acceptance by the end of the day on </w:t>
      </w:r>
      <w:r>
        <w:rPr>
          <w:rFonts w:ascii="Arial" w:cs="Arial" w:eastAsia="Arial" w:hAnsi="Arial"/>
          <w:sz w:val="19"/>
          <w:szCs w:val="19"/>
          <w:b w:val="1"/>
          <w:bCs w:val="1"/>
          <w:u w:val="single" w:color="auto"/>
          <w:color w:val="auto"/>
        </w:rPr>
        <w:t>Friday, June 30, 2023</w:t>
      </w:r>
      <w:r>
        <w:rPr>
          <w:rFonts w:ascii="Arial" w:cs="Arial" w:eastAsia="Arial" w:hAnsi="Arial"/>
          <w:sz w:val="19"/>
          <w:szCs w:val="19"/>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 look forward to your favorable reply and to welcoming you to Nkarta, Inc. as CFBO.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Paul Hastings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Paul Hastings, CEO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6/29/2023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Alyssa Levin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Alyssa Levin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6/30/2023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Enclosures</w:t>
      </w:r>
    </w:p>
    <w:p>
      <w:pPr>
        <w:spacing w:after="0" w:line="206" w:lineRule="exact"/>
        <w:rPr>
          <w:sz w:val="20"/>
          <w:szCs w:val="20"/>
          <w:color w:val="auto"/>
        </w:rPr>
      </w:pPr>
    </w:p>
    <w:p>
      <w:pPr>
        <w:ind w:left="5580" w:right="2680" w:hanging="5561"/>
        <w:spacing w:after="0" w:line="455" w:lineRule="auto"/>
        <w:rPr>
          <w:sz w:val="20"/>
          <w:szCs w:val="20"/>
          <w:color w:val="auto"/>
        </w:rPr>
      </w:pPr>
      <w:r>
        <w:rPr>
          <w:rFonts w:ascii="Arial" w:cs="Arial" w:eastAsia="Arial" w:hAnsi="Arial"/>
          <w:sz w:val="22"/>
          <w:szCs w:val="22"/>
          <w:color w:val="auto"/>
        </w:rPr>
        <w:t>At-Will Employment, Confidential Information, Invention Assignment and Arbitration Agreement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86" w:name="page87"/>
    <w:bookmarkEnd w:id="8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jc w:val="right"/>
        <w:spacing w:after="0"/>
        <w:rPr>
          <w:sz w:val="20"/>
          <w:szCs w:val="20"/>
          <w:color w:val="auto"/>
        </w:rPr>
      </w:pPr>
      <w:r>
        <w:rPr>
          <w:rFonts w:ascii="Arial" w:cs="Arial" w:eastAsia="Arial" w:hAnsi="Arial"/>
          <w:sz w:val="20"/>
          <w:szCs w:val="20"/>
          <w:b w:val="1"/>
          <w:bCs w:val="1"/>
          <w:color w:val="auto"/>
        </w:rPr>
        <w:t>Exhibit 10.2(B)</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FOURTH AMENDMENT TO LEASE</w:t>
      </w:r>
    </w:p>
    <w:p>
      <w:pPr>
        <w:spacing w:after="0" w:line="2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This FOURTH AMENDMENT TO LEASE (this "</w:t>
      </w:r>
      <w:r>
        <w:rPr>
          <w:rFonts w:ascii="Arial" w:cs="Arial" w:eastAsia="Arial" w:hAnsi="Arial"/>
          <w:sz w:val="20"/>
          <w:szCs w:val="20"/>
          <w:b w:val="1"/>
          <w:bCs w:val="1"/>
          <w:color w:val="auto"/>
        </w:rPr>
        <w:t>Fourth Amendment</w:t>
      </w:r>
      <w:r>
        <w:rPr>
          <w:rFonts w:ascii="Arial" w:cs="Arial" w:eastAsia="Arial" w:hAnsi="Arial"/>
          <w:sz w:val="20"/>
          <w:szCs w:val="20"/>
          <w:color w:val="auto"/>
        </w:rPr>
        <w:t xml:space="preserve">") is made and entered into as of the date of last signature below, by and between </w:t>
      </w:r>
      <w:r>
        <w:rPr>
          <w:rFonts w:ascii="Arial" w:cs="Arial" w:eastAsia="Arial" w:hAnsi="Arial"/>
          <w:sz w:val="20"/>
          <w:szCs w:val="20"/>
          <w:b w:val="1"/>
          <w:bCs w:val="1"/>
          <w:color w:val="auto"/>
        </w:rPr>
        <w:t>HCP BTC,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xml:space="preserve">"), and </w:t>
      </w:r>
      <w:r>
        <w:rPr>
          <w:rFonts w:ascii="Arial" w:cs="Arial" w:eastAsia="Arial" w:hAnsi="Arial"/>
          <w:sz w:val="20"/>
          <w:szCs w:val="20"/>
          <w:b w:val="1"/>
          <w:bCs w:val="1"/>
          <w:color w:val="auto"/>
        </w:rPr>
        <w:t>NKARTA,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 E C I T A L S</w:t>
      </w:r>
      <w:r>
        <w:rPr>
          <w:rFonts w:ascii="Arial" w:cs="Arial" w:eastAsia="Arial" w:hAnsi="Arial"/>
          <w:sz w:val="20"/>
          <w:szCs w:val="20"/>
          <w:color w:val="auto"/>
        </w:rPr>
        <w:t xml:space="preserve"> :</w:t>
      </w:r>
    </w:p>
    <w:p>
      <w:pPr>
        <w:spacing w:after="0" w:line="210" w:lineRule="exact"/>
        <w:rPr>
          <w:sz w:val="20"/>
          <w:szCs w:val="20"/>
          <w:color w:val="auto"/>
        </w:rPr>
      </w:pPr>
    </w:p>
    <w:p>
      <w:pPr>
        <w:jc w:val="both"/>
        <w:ind w:firstLine="757"/>
        <w:spacing w:after="0" w:line="277" w:lineRule="auto"/>
        <w:tabs>
          <w:tab w:leader="none" w:pos="13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Landlord and Tenant are parties to that certain Lease dated July 9, 2021 (the “</w:t>
      </w:r>
      <w:r>
        <w:rPr>
          <w:rFonts w:ascii="Arial" w:cs="Arial" w:eastAsia="Arial" w:hAnsi="Arial"/>
          <w:sz w:val="18"/>
          <w:szCs w:val="18"/>
          <w:b w:val="1"/>
          <w:bCs w:val="1"/>
          <w:color w:val="auto"/>
        </w:rPr>
        <w:t>Original Lease</w:t>
      </w:r>
      <w:r>
        <w:rPr>
          <w:rFonts w:ascii="Arial" w:cs="Arial" w:eastAsia="Arial" w:hAnsi="Arial"/>
          <w:sz w:val="18"/>
          <w:szCs w:val="18"/>
          <w:color w:val="auto"/>
        </w:rPr>
        <w:t>”), as amended by that certain First Amendment to Lease dated as of November 4, 2021 (the “</w:t>
      </w:r>
      <w:r>
        <w:rPr>
          <w:rFonts w:ascii="Arial" w:cs="Arial" w:eastAsia="Arial" w:hAnsi="Arial"/>
          <w:sz w:val="18"/>
          <w:szCs w:val="18"/>
          <w:b w:val="1"/>
          <w:bCs w:val="1"/>
          <w:color w:val="auto"/>
        </w:rPr>
        <w:t>First Amendment</w:t>
      </w:r>
      <w:r>
        <w:rPr>
          <w:rFonts w:ascii="Arial" w:cs="Arial" w:eastAsia="Arial" w:hAnsi="Arial"/>
          <w:sz w:val="18"/>
          <w:szCs w:val="18"/>
          <w:color w:val="auto"/>
        </w:rPr>
        <w:t>”), that certain Second Amendment to Lease dated August 11, 2022 (the “</w:t>
      </w:r>
      <w:r>
        <w:rPr>
          <w:rFonts w:ascii="Arial" w:cs="Arial" w:eastAsia="Arial" w:hAnsi="Arial"/>
          <w:sz w:val="18"/>
          <w:szCs w:val="18"/>
          <w:b w:val="1"/>
          <w:bCs w:val="1"/>
          <w:color w:val="auto"/>
        </w:rPr>
        <w:t>Second Amendment</w:t>
      </w:r>
      <w:r>
        <w:rPr>
          <w:rFonts w:ascii="Arial" w:cs="Arial" w:eastAsia="Arial" w:hAnsi="Arial"/>
          <w:sz w:val="18"/>
          <w:szCs w:val="18"/>
          <w:color w:val="auto"/>
        </w:rPr>
        <w:t>”), and that certain Third Amendment to Lease dated April 25, 2023 (the “</w:t>
      </w:r>
      <w:r>
        <w:rPr>
          <w:rFonts w:ascii="Arial" w:cs="Arial" w:eastAsia="Arial" w:hAnsi="Arial"/>
          <w:sz w:val="18"/>
          <w:szCs w:val="18"/>
          <w:b w:val="1"/>
          <w:bCs w:val="1"/>
          <w:color w:val="auto"/>
        </w:rPr>
        <w:t>Third Amendment</w:t>
      </w:r>
      <w:r>
        <w:rPr>
          <w:rFonts w:ascii="Arial" w:cs="Arial" w:eastAsia="Arial" w:hAnsi="Arial"/>
          <w:sz w:val="18"/>
          <w:szCs w:val="18"/>
          <w:color w:val="auto"/>
        </w:rPr>
        <w:t>” and together with the Original Lease, First Amendment, and Second Amendment, the "</w:t>
      </w:r>
      <w:r>
        <w:rPr>
          <w:rFonts w:ascii="Arial" w:cs="Arial" w:eastAsia="Arial" w:hAnsi="Arial"/>
          <w:sz w:val="18"/>
          <w:szCs w:val="18"/>
          <w:b w:val="1"/>
          <w:bCs w:val="1"/>
          <w:color w:val="auto"/>
        </w:rPr>
        <w:t>Lease</w:t>
      </w:r>
      <w:r>
        <w:rPr>
          <w:rFonts w:ascii="Arial" w:cs="Arial" w:eastAsia="Arial" w:hAnsi="Arial"/>
          <w:sz w:val="18"/>
          <w:szCs w:val="18"/>
          <w:color w:val="auto"/>
        </w:rPr>
        <w:t>"), whereby Landlord leases to Tenant and Tenant leases from Landlord those certain premises containing approximately 88,106 rentable square feet (collectively, the "</w:t>
      </w:r>
      <w:r>
        <w:rPr>
          <w:rFonts w:ascii="Arial" w:cs="Arial" w:eastAsia="Arial" w:hAnsi="Arial"/>
          <w:sz w:val="18"/>
          <w:szCs w:val="18"/>
          <w:b w:val="1"/>
          <w:bCs w:val="1"/>
          <w:color w:val="auto"/>
        </w:rPr>
        <w:t>Premises</w:t>
      </w:r>
      <w:r>
        <w:rPr>
          <w:rFonts w:ascii="Arial" w:cs="Arial" w:eastAsia="Arial" w:hAnsi="Arial"/>
          <w:sz w:val="18"/>
          <w:szCs w:val="18"/>
          <w:color w:val="auto"/>
        </w:rPr>
        <w:t>") consisting of the entire building located at 1150 Veterans Boulevard, South San Francisco, California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firstLine="757"/>
        <w:spacing w:after="0" w:line="260" w:lineRule="auto"/>
        <w:tabs>
          <w:tab w:leader="none" w:pos="1263" w:val="left"/>
        </w:tabs>
        <w:numPr>
          <w:ilvl w:val="0"/>
          <w:numId w:val="39"/>
        </w:numPr>
        <w:rPr>
          <w:rFonts w:ascii="Arial" w:cs="Arial" w:eastAsia="Arial" w:hAnsi="Arial"/>
          <w:sz w:val="20"/>
          <w:szCs w:val="20"/>
          <w:color w:val="auto"/>
        </w:rPr>
      </w:pPr>
      <w:r>
        <w:rPr>
          <w:rFonts w:ascii="Arial" w:cs="Arial" w:eastAsia="Arial" w:hAnsi="Arial"/>
          <w:sz w:val="20"/>
          <w:szCs w:val="20"/>
          <w:color w:val="auto"/>
        </w:rPr>
        <w:t>Landlord and Tenant desire to make modifications to the Lease, and in connection therewith, Landlord and Tenant desire to amend the Lease as hereinafter provided.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 G R E E M E N T</w:t>
      </w:r>
      <w:r>
        <w:rPr>
          <w:rFonts w:ascii="Arial" w:cs="Arial" w:eastAsia="Arial" w:hAnsi="Arial"/>
          <w:sz w:val="20"/>
          <w:szCs w:val="20"/>
          <w:color w:val="auto"/>
        </w:rPr>
        <w:t xml:space="preserve"> :</w:t>
      </w:r>
    </w:p>
    <w:p>
      <w:pPr>
        <w:spacing w:after="0" w:line="216" w:lineRule="exact"/>
        <w:rPr>
          <w:sz w:val="20"/>
          <w:szCs w:val="20"/>
          <w:color w:val="auto"/>
        </w:rPr>
      </w:pPr>
    </w:p>
    <w:p>
      <w:pPr>
        <w:ind w:firstLine="749"/>
        <w:spacing w:after="0" w:line="316" w:lineRule="auto"/>
        <w:rPr>
          <w:sz w:val="20"/>
          <w:szCs w:val="20"/>
          <w:color w:val="auto"/>
        </w:rPr>
      </w:pPr>
      <w:r>
        <w:rPr>
          <w:rFonts w:ascii="Arial" w:cs="Arial" w:eastAsia="Arial" w:hAnsi="Arial"/>
          <w:sz w:val="18"/>
          <w:szCs w:val="18"/>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24" w:lineRule="exact"/>
        <w:rPr>
          <w:sz w:val="20"/>
          <w:szCs w:val="20"/>
          <w:color w:val="auto"/>
        </w:rPr>
      </w:pPr>
    </w:p>
    <w:p>
      <w:pPr>
        <w:ind w:firstLine="757"/>
        <w:spacing w:after="0" w:line="267" w:lineRule="auto"/>
        <w:tabs>
          <w:tab w:leader="none" w:pos="1211" w:val="left"/>
        </w:tabs>
        <w:numPr>
          <w:ilvl w:val="0"/>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Capitalized Terms</w:t>
      </w:r>
      <w:r>
        <w:rPr>
          <w:rFonts w:ascii="Arial" w:cs="Arial" w:eastAsia="Arial" w:hAnsi="Arial"/>
          <w:sz w:val="20"/>
          <w:szCs w:val="20"/>
          <w:color w:val="auto"/>
        </w:rPr>
        <w:t>. All capitalized terms when used herein shall have the same meanings as are given such terms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Lease unless expressly superseded by the terms of this Fourth Amendment.</w:t>
      </w:r>
    </w:p>
    <w:p>
      <w:pPr>
        <w:spacing w:after="0" w:line="163" w:lineRule="exact"/>
        <w:rPr>
          <w:rFonts w:ascii="Arial" w:cs="Arial" w:eastAsia="Arial" w:hAnsi="Arial"/>
          <w:sz w:val="20"/>
          <w:szCs w:val="20"/>
          <w:color w:val="auto"/>
        </w:rPr>
      </w:pPr>
    </w:p>
    <w:p>
      <w:pPr>
        <w:jc w:val="both"/>
        <w:ind w:firstLine="757"/>
        <w:spacing w:after="0" w:line="248" w:lineRule="auto"/>
        <w:tabs>
          <w:tab w:leader="none" w:pos="1190" w:val="left"/>
        </w:tabs>
        <w:numPr>
          <w:ilvl w:val="0"/>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Additional TI Allowance</w:t>
      </w:r>
      <w:r>
        <w:rPr>
          <w:rFonts w:ascii="Arial" w:cs="Arial" w:eastAsia="Arial" w:hAnsi="Arial"/>
          <w:sz w:val="20"/>
          <w:szCs w:val="20"/>
          <w:color w:val="auto"/>
        </w:rPr>
        <w:t>. Pursuant to the terms of Section 2.5 of the Tenant Work Letter attached to the Lease as</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Tenant was entitled to an Additional TI Allowance of up to $4,405,300.00. Notwithstanding any provision to the contrary contained in the Lease, Landlord and Tenant hereby acknowledge and agree that Tenant has elected to utilize the entire $4,405,300.00 of the Additional TI Allowance (the "</w:t>
      </w:r>
      <w:r>
        <w:rPr>
          <w:rFonts w:ascii="Arial" w:cs="Arial" w:eastAsia="Arial" w:hAnsi="Arial"/>
          <w:sz w:val="20"/>
          <w:szCs w:val="20"/>
          <w:b w:val="1"/>
          <w:bCs w:val="1"/>
          <w:color w:val="auto"/>
        </w:rPr>
        <w:t>Utilized Additional TI Allowance</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jc w:val="both"/>
        <w:ind w:firstLine="757"/>
        <w:spacing w:after="0" w:line="233" w:lineRule="auto"/>
        <w:tabs>
          <w:tab w:leader="none" w:pos="1204" w:val="left"/>
        </w:tabs>
        <w:numPr>
          <w:ilvl w:val="0"/>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Additional Monthly Base Rent</w:t>
      </w:r>
      <w:r>
        <w:rPr>
          <w:rFonts w:ascii="Arial" w:cs="Arial" w:eastAsia="Arial" w:hAnsi="Arial"/>
          <w:sz w:val="20"/>
          <w:szCs w:val="20"/>
          <w:color w:val="auto"/>
        </w:rPr>
        <w:t>. As a result of Tenant's use of the Utilized Additional TI Allowance, beginning on July 1,</w:t>
      </w:r>
      <w:r>
        <w:rPr>
          <w:rFonts w:ascii="Arial" w:cs="Arial" w:eastAsia="Arial" w:hAnsi="Arial"/>
          <w:sz w:val="20"/>
          <w:szCs w:val="20"/>
          <w:b w:val="1"/>
          <w:bCs w:val="1"/>
          <w:color w:val="auto"/>
        </w:rPr>
        <w:t xml:space="preserve"> </w:t>
      </w:r>
      <w:r>
        <w:rPr>
          <w:rFonts w:ascii="Arial" w:cs="Arial" w:eastAsia="Arial" w:hAnsi="Arial"/>
          <w:sz w:val="20"/>
          <w:szCs w:val="20"/>
          <w:color w:val="auto"/>
        </w:rPr>
        <w:t>2023 and continuing on the first (1</w:t>
      </w:r>
      <w:r>
        <w:rPr>
          <w:rFonts w:ascii="Arial" w:cs="Arial" w:eastAsia="Arial" w:hAnsi="Arial"/>
          <w:sz w:val="26"/>
          <w:szCs w:val="26"/>
          <w:color w:val="auto"/>
          <w:vertAlign w:val="superscript"/>
        </w:rPr>
        <w:t>st</w:t>
      </w:r>
      <w:r>
        <w:rPr>
          <w:rFonts w:ascii="Arial" w:cs="Arial" w:eastAsia="Arial" w:hAnsi="Arial"/>
          <w:sz w:val="20"/>
          <w:szCs w:val="20"/>
          <w:color w:val="auto"/>
        </w:rPr>
        <w:t>) day of each month for the remainder of the Lease Term, and in addition to the obligations of Tenant for Base Rent and other amounts due and owing under the Lease, Tenant shall pay to Landlord the sum of $50,433.27 as the Additional TI Allowance Payment, which represents the amount of the Utilized Additional TI Allowance amortized over the remaining Lease Term at 8.5% per annum.</w:t>
      </w:r>
    </w:p>
    <w:p>
      <w:pPr>
        <w:spacing w:after="0" w:line="193" w:lineRule="exact"/>
        <w:rPr>
          <w:rFonts w:ascii="Arial" w:cs="Arial" w:eastAsia="Arial" w:hAnsi="Arial"/>
          <w:sz w:val="20"/>
          <w:szCs w:val="20"/>
          <w:color w:val="auto"/>
        </w:rPr>
      </w:pPr>
    </w:p>
    <w:p>
      <w:pPr>
        <w:jc w:val="both"/>
        <w:ind w:firstLine="757"/>
        <w:spacing w:after="0" w:line="253" w:lineRule="auto"/>
        <w:tabs>
          <w:tab w:leader="none" w:pos="1206" w:val="left"/>
        </w:tabs>
        <w:numPr>
          <w:ilvl w:val="0"/>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No Further Modification; Conflict</w:t>
      </w:r>
      <w:r>
        <w:rPr>
          <w:rFonts w:ascii="Arial" w:cs="Arial" w:eastAsia="Arial" w:hAnsi="Arial"/>
          <w:sz w:val="20"/>
          <w:szCs w:val="20"/>
          <w:color w:val="auto"/>
        </w:rPr>
        <w:t>. Except as set forth in this Fourth Amendment, all of the terms and provisions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Lease shall remain unmodified and in full force and effect. In the event of a conflict between the Lease and this Fourth Amendment, the terms of this Fourth Amendment shall prevail.</w:t>
      </w:r>
    </w:p>
    <w:p>
      <w:pPr>
        <w:spacing w:after="0" w:line="177" w:lineRule="exact"/>
        <w:rPr>
          <w:rFonts w:ascii="Arial" w:cs="Arial" w:eastAsia="Arial" w:hAnsi="Arial"/>
          <w:sz w:val="20"/>
          <w:szCs w:val="20"/>
          <w:color w:val="auto"/>
        </w:rPr>
      </w:pPr>
    </w:p>
    <w:p>
      <w:pPr>
        <w:ind w:firstLine="757"/>
        <w:spacing w:after="0" w:line="267" w:lineRule="auto"/>
        <w:tabs>
          <w:tab w:leader="none" w:pos="1187" w:val="left"/>
        </w:tabs>
        <w:numPr>
          <w:ilvl w:val="0"/>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Fourth Amendment may be executed in counterparts, each of which shall be deemed an original, but all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together shall constitute one and the same instrument. Further,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8" w:name="page89"/>
    <w:bookmarkEnd w:id="88"/>
    <w:p>
      <w:pPr>
        <w:jc w:val="both"/>
        <w:spacing w:after="0" w:line="244" w:lineRule="auto"/>
        <w:rPr>
          <w:sz w:val="20"/>
          <w:szCs w:val="20"/>
          <w:color w:val="auto"/>
        </w:rPr>
      </w:pPr>
      <w:r>
        <w:rPr>
          <w:rFonts w:ascii="Arial" w:cs="Arial" w:eastAsia="Arial" w:hAnsi="Arial"/>
          <w:sz w:val="20"/>
          <w:szCs w:val="20"/>
          <w:color w:val="auto"/>
        </w:rPr>
        <w:t>parties agree that this Fourth Amendment may be signed and/or transmitted by electronic mail of a .PDF document or electronic signature (e.g., DocuSign or similar electronic signature technology) and thereafter maintained in electronic form, and that such electronic record shall be valid and effective to bind the party so signing as a paper copy bearing such party’s handwritten signature. The parties further consent and agree that the electronic signatures appearing on this Fourth Amendment shall be treated, for purpose of validity, enforceability and admissibility, the same as hand-written signatures.</w:t>
      </w:r>
    </w:p>
    <w:p>
      <w:pPr>
        <w:spacing w:after="0" w:line="194"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[Signature Page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IN WITNESS WHEREOF, this Fourth Amendment has been executed as of the day and year first above written.</w:t>
      </w:r>
    </w:p>
    <w:p>
      <w:pPr>
        <w:sectPr>
          <w:pgSz w:w="11900" w:h="16838" w:orient="portrait"/>
          <w:cols w:equalWidth="0" w:num="1">
            <w:col w:w="10139"/>
          </w:cols>
          <w:pgMar w:left="320" w:top="5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220" w:type="dxa"/>
            <w:vAlign w:val="bottom"/>
            <w:gridSpan w:val="2"/>
          </w:tcPr>
          <w:p>
            <w:pPr>
              <w:spacing w:after="0"/>
              <w:rPr>
                <w:sz w:val="20"/>
                <w:szCs w:val="20"/>
                <w:color w:val="auto"/>
              </w:rPr>
            </w:pPr>
            <w:r>
              <w:rPr>
                <w:rFonts w:ascii="Arial" w:cs="Arial" w:eastAsia="Arial" w:hAnsi="Arial"/>
                <w:sz w:val="20"/>
                <w:szCs w:val="20"/>
                <w:color w:val="auto"/>
              </w:rPr>
              <w:t>LANDLORD:</w:t>
            </w:r>
          </w:p>
        </w:tc>
        <w:tc>
          <w:tcPr>
            <w:tcW w:w="3140" w:type="dxa"/>
            <w:vAlign w:val="bottom"/>
            <w:gridSpan w:val="3"/>
          </w:tcPr>
          <w:p>
            <w:pPr>
              <w:ind w:left="1280"/>
              <w:spacing w:after="0"/>
              <w:rPr>
                <w:sz w:val="20"/>
                <w:szCs w:val="20"/>
                <w:color w:val="auto"/>
              </w:rPr>
            </w:pPr>
            <w:r>
              <w:rPr>
                <w:rFonts w:ascii="Arial" w:cs="Arial" w:eastAsia="Arial" w:hAnsi="Arial"/>
                <w:sz w:val="20"/>
                <w:szCs w:val="20"/>
                <w:color w:val="auto"/>
              </w:rPr>
              <w:t>TENANT:</w:t>
            </w:r>
          </w:p>
        </w:tc>
      </w:tr>
      <w:tr>
        <w:trPr>
          <w:trHeight w:val="20"/>
        </w:trPr>
        <w:tc>
          <w:tcPr>
            <w:tcW w:w="108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571"/>
        </w:trPr>
        <w:tc>
          <w:tcPr>
            <w:tcW w:w="4220" w:type="dxa"/>
            <w:vAlign w:val="bottom"/>
            <w:gridSpan w:val="2"/>
          </w:tcPr>
          <w:p>
            <w:pPr>
              <w:spacing w:after="0"/>
              <w:rPr>
                <w:sz w:val="20"/>
                <w:szCs w:val="20"/>
                <w:color w:val="auto"/>
              </w:rPr>
            </w:pPr>
            <w:r>
              <w:rPr>
                <w:rFonts w:ascii="Arial" w:cs="Arial" w:eastAsia="Arial" w:hAnsi="Arial"/>
                <w:sz w:val="20"/>
                <w:szCs w:val="20"/>
                <w:color w:val="auto"/>
              </w:rPr>
              <w:t>HCP BTC, LLC,</w:t>
            </w:r>
          </w:p>
        </w:tc>
        <w:tc>
          <w:tcPr>
            <w:tcW w:w="3140" w:type="dxa"/>
            <w:vAlign w:val="bottom"/>
            <w:gridSpan w:val="3"/>
          </w:tcPr>
          <w:p>
            <w:pPr>
              <w:ind w:left="1280"/>
              <w:spacing w:after="0"/>
              <w:rPr>
                <w:sz w:val="20"/>
                <w:szCs w:val="20"/>
                <w:color w:val="auto"/>
              </w:rPr>
            </w:pPr>
            <w:r>
              <w:rPr>
                <w:rFonts w:ascii="Arial" w:cs="Arial" w:eastAsia="Arial" w:hAnsi="Arial"/>
                <w:sz w:val="20"/>
                <w:szCs w:val="20"/>
                <w:color w:val="auto"/>
              </w:rPr>
              <w:t>NKARTA, INC.,</w:t>
            </w:r>
          </w:p>
        </w:tc>
      </w:tr>
      <w:tr>
        <w:trPr>
          <w:trHeight w:val="250"/>
        </w:trPr>
        <w:tc>
          <w:tcPr>
            <w:tcW w:w="4220" w:type="dxa"/>
            <w:vAlign w:val="bottom"/>
            <w:gridSpan w:val="2"/>
          </w:tcPr>
          <w:p>
            <w:pPr>
              <w:spacing w:after="0"/>
              <w:rPr>
                <w:sz w:val="20"/>
                <w:szCs w:val="20"/>
                <w:color w:val="auto"/>
              </w:rPr>
            </w:pPr>
            <w:r>
              <w:rPr>
                <w:rFonts w:ascii="Arial" w:cs="Arial" w:eastAsia="Arial" w:hAnsi="Arial"/>
                <w:sz w:val="20"/>
                <w:szCs w:val="20"/>
                <w:color w:val="auto"/>
              </w:rPr>
              <w:t>a Delaware limited liability company</w:t>
            </w:r>
          </w:p>
        </w:tc>
        <w:tc>
          <w:tcPr>
            <w:tcW w:w="3140" w:type="dxa"/>
            <w:vAlign w:val="bottom"/>
            <w:gridSpan w:val="3"/>
          </w:tcPr>
          <w:p>
            <w:pPr>
              <w:ind w:left="1280"/>
              <w:spacing w:after="0"/>
              <w:rPr>
                <w:sz w:val="20"/>
                <w:szCs w:val="20"/>
                <w:color w:val="auto"/>
              </w:rPr>
            </w:pPr>
            <w:r>
              <w:rPr>
                <w:rFonts w:ascii="Arial" w:cs="Arial" w:eastAsia="Arial" w:hAnsi="Arial"/>
                <w:sz w:val="20"/>
                <w:szCs w:val="20"/>
                <w:color w:val="auto"/>
                <w:w w:val="88"/>
              </w:rPr>
              <w:t>a Delaware 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260" w:type="dxa"/>
            <w:vAlign w:val="bottom"/>
            <w:gridSpan w:val="5"/>
          </w:tcPr>
          <w:p>
            <w:pPr>
              <w:spacing w:after="0"/>
              <w:rPr>
                <w:sz w:val="20"/>
                <w:szCs w:val="20"/>
                <w:color w:val="auto"/>
              </w:rPr>
            </w:pPr>
            <w:r>
              <w:rPr>
                <w:rFonts w:ascii="Arial" w:cs="Arial" w:eastAsia="Arial" w:hAnsi="Arial"/>
                <w:sz w:val="20"/>
                <w:szCs w:val="20"/>
                <w:color w:val="auto"/>
              </w:rPr>
              <w:t>By: /s/ Scott R. Bohn</w:t>
            </w:r>
          </w:p>
        </w:tc>
        <w:tc>
          <w:tcPr>
            <w:tcW w:w="3460" w:type="dxa"/>
            <w:vAlign w:val="bottom"/>
            <w:gridSpan w:val="5"/>
          </w:tcPr>
          <w:p>
            <w:pPr>
              <w:ind w:left="1520"/>
              <w:spacing w:after="0"/>
              <w:rPr>
                <w:sz w:val="20"/>
                <w:szCs w:val="20"/>
                <w:color w:val="auto"/>
              </w:rPr>
            </w:pPr>
            <w:r>
              <w:rPr>
                <w:rFonts w:ascii="Arial" w:cs="Arial" w:eastAsia="Arial" w:hAnsi="Arial"/>
                <w:sz w:val="20"/>
                <w:szCs w:val="20"/>
                <w:color w:val="auto"/>
              </w:rPr>
              <w:t>By: /s/ Paul Hastings</w:t>
            </w: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3"/>
        </w:trPr>
        <w:tc>
          <w:tcPr>
            <w:tcW w:w="280" w:type="dxa"/>
            <w:vAlign w:val="bottom"/>
          </w:tcPr>
          <w:p>
            <w:pPr>
              <w:spacing w:after="0"/>
              <w:rPr>
                <w:sz w:val="20"/>
                <w:szCs w:val="20"/>
                <w:color w:val="auto"/>
              </w:rPr>
            </w:pPr>
          </w:p>
        </w:tc>
        <w:tc>
          <w:tcPr>
            <w:tcW w:w="3980" w:type="dxa"/>
            <w:vAlign w:val="bottom"/>
            <w:gridSpan w:val="4"/>
          </w:tcPr>
          <w:p>
            <w:pPr>
              <w:ind w:left="20"/>
              <w:spacing w:after="0"/>
              <w:rPr>
                <w:sz w:val="20"/>
                <w:szCs w:val="20"/>
                <w:color w:val="auto"/>
              </w:rPr>
            </w:pPr>
            <w:r>
              <w:rPr>
                <w:rFonts w:ascii="Arial" w:cs="Arial" w:eastAsia="Arial" w:hAnsi="Arial"/>
                <w:sz w:val="20"/>
                <w:szCs w:val="20"/>
                <w:color w:val="auto"/>
              </w:rPr>
              <w:t>Name: Scott R. Bohn</w:t>
            </w:r>
          </w:p>
        </w:tc>
        <w:tc>
          <w:tcPr>
            <w:tcW w:w="3460" w:type="dxa"/>
            <w:vAlign w:val="bottom"/>
            <w:gridSpan w:val="5"/>
          </w:tcPr>
          <w:p>
            <w:pPr>
              <w:ind w:left="1780"/>
              <w:spacing w:after="0"/>
              <w:rPr>
                <w:sz w:val="20"/>
                <w:szCs w:val="20"/>
                <w:color w:val="auto"/>
              </w:rPr>
            </w:pPr>
            <w:r>
              <w:rPr>
                <w:rFonts w:ascii="Arial" w:cs="Arial" w:eastAsia="Arial" w:hAnsi="Arial"/>
                <w:sz w:val="20"/>
                <w:szCs w:val="20"/>
                <w:color w:val="auto"/>
                <w:w w:val="88"/>
              </w:rPr>
              <w:t>Name: Paul Hastings</w:t>
            </w:r>
          </w:p>
        </w:tc>
      </w:tr>
      <w:tr>
        <w:trPr>
          <w:trHeight w:val="250"/>
        </w:trPr>
        <w:tc>
          <w:tcPr>
            <w:tcW w:w="280" w:type="dxa"/>
            <w:vAlign w:val="bottom"/>
          </w:tcPr>
          <w:p>
            <w:pPr>
              <w:spacing w:after="0"/>
              <w:rPr>
                <w:sz w:val="21"/>
                <w:szCs w:val="21"/>
                <w:color w:val="auto"/>
              </w:rPr>
            </w:pPr>
          </w:p>
        </w:tc>
        <w:tc>
          <w:tcPr>
            <w:tcW w:w="3980" w:type="dxa"/>
            <w:vAlign w:val="bottom"/>
            <w:gridSpan w:val="4"/>
          </w:tcPr>
          <w:p>
            <w:pPr>
              <w:ind w:left="20"/>
              <w:spacing w:after="0"/>
              <w:rPr>
                <w:sz w:val="20"/>
                <w:szCs w:val="20"/>
                <w:color w:val="auto"/>
              </w:rPr>
            </w:pPr>
            <w:r>
              <w:rPr>
                <w:rFonts w:ascii="Arial" w:cs="Arial" w:eastAsia="Arial" w:hAnsi="Arial"/>
                <w:sz w:val="20"/>
                <w:szCs w:val="20"/>
                <w:color w:val="auto"/>
              </w:rPr>
              <w:t>Its: Chief Development Officer</w:t>
            </w:r>
          </w:p>
        </w:tc>
        <w:tc>
          <w:tcPr>
            <w:tcW w:w="3460" w:type="dxa"/>
            <w:vAlign w:val="bottom"/>
            <w:gridSpan w:val="5"/>
          </w:tcPr>
          <w:p>
            <w:pPr>
              <w:ind w:left="1780"/>
              <w:spacing w:after="0"/>
              <w:rPr>
                <w:sz w:val="20"/>
                <w:szCs w:val="20"/>
                <w:color w:val="auto"/>
              </w:rPr>
            </w:pPr>
            <w:r>
              <w:rPr>
                <w:rFonts w:ascii="Arial" w:cs="Arial" w:eastAsia="Arial" w:hAnsi="Arial"/>
                <w:sz w:val="20"/>
                <w:szCs w:val="20"/>
                <w:color w:val="auto"/>
              </w:rPr>
              <w:t>Its: CEO</w:t>
            </w:r>
          </w:p>
        </w:tc>
      </w:tr>
      <w:tr>
        <w:trPr>
          <w:trHeight w:val="401"/>
        </w:trPr>
        <w:tc>
          <w:tcPr>
            <w:tcW w:w="280" w:type="dxa"/>
            <w:vAlign w:val="bottom"/>
          </w:tcPr>
          <w:p>
            <w:pPr>
              <w:spacing w:after="0"/>
              <w:rPr>
                <w:sz w:val="24"/>
                <w:szCs w:val="24"/>
                <w:color w:val="auto"/>
              </w:rPr>
            </w:pPr>
          </w:p>
        </w:tc>
        <w:tc>
          <w:tcPr>
            <w:tcW w:w="3980" w:type="dxa"/>
            <w:vAlign w:val="bottom"/>
            <w:gridSpan w:val="4"/>
          </w:tcPr>
          <w:p>
            <w:pPr>
              <w:ind w:left="20"/>
              <w:spacing w:after="0"/>
              <w:rPr>
                <w:sz w:val="20"/>
                <w:szCs w:val="20"/>
                <w:color w:val="auto"/>
              </w:rPr>
            </w:pPr>
            <w:r>
              <w:rPr>
                <w:rFonts w:ascii="Arial" w:cs="Arial" w:eastAsia="Arial" w:hAnsi="Arial"/>
                <w:sz w:val="20"/>
                <w:szCs w:val="20"/>
                <w:color w:val="auto"/>
              </w:rPr>
              <w:t>Date: June 14, 2023</w:t>
            </w:r>
          </w:p>
        </w:tc>
        <w:tc>
          <w:tcPr>
            <w:tcW w:w="3460" w:type="dxa"/>
            <w:vAlign w:val="bottom"/>
            <w:gridSpan w:val="5"/>
          </w:tcPr>
          <w:p>
            <w:pPr>
              <w:ind w:left="1780"/>
              <w:spacing w:after="0"/>
              <w:rPr>
                <w:sz w:val="20"/>
                <w:szCs w:val="20"/>
                <w:color w:val="auto"/>
              </w:rPr>
            </w:pPr>
            <w:r>
              <w:rPr>
                <w:rFonts w:ascii="Arial" w:cs="Arial" w:eastAsia="Arial" w:hAnsi="Arial"/>
                <w:sz w:val="20"/>
                <w:szCs w:val="20"/>
                <w:color w:val="auto"/>
                <w:w w:val="92"/>
              </w:rPr>
              <w:t>Date: June 14, 2023</w:t>
            </w:r>
          </w:p>
        </w:tc>
      </w:tr>
      <w:tr>
        <w:trPr>
          <w:trHeight w:val="20"/>
        </w:trPr>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68" w:right="1440" w:bottom="1440" w:gutter="0" w:footer="0" w:header="0"/>
          <w:type w:val="continuous"/>
        </w:sectPr>
      </w:pPr>
    </w:p>
    <w:bookmarkStart w:id="90" w:name="page91"/>
    <w:bookmarkEnd w:id="9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Hastings, certify that:</w:t>
      </w:r>
    </w:p>
    <w:p>
      <w:pPr>
        <w:spacing w:after="0" w:line="225"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Nkarta, Inc. (the “registrant”);</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342"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520" w:right="160" w:hanging="512"/>
        <w:spacing w:after="0" w:line="308"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794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Paul J. Hastings</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Alyssa Levin, certify that:</w:t>
      </w:r>
    </w:p>
    <w:p>
      <w:pPr>
        <w:spacing w:after="0" w:line="225"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Nkarta, Inc. (the “registrant”);</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342"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520" w:right="160" w:hanging="512"/>
        <w:spacing w:after="0" w:line="308"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804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Alyssa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Alyssa Levin</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and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In connection with the Quarterly Report on Form 10-Q for the quarter ended June 30, 2023 of Nkarta, Inc. (the "Company") as filed with the Securities and Exchange Commission on the date hereof (the "Report"), we, Paul J. Hastings, Chief Executive Officer of the Company, and Alyssa Levin, Chief Financial and Business Officer of the Company, certify, pursuant to 18 U.S.C. 1350, as adopted pursuant to Section 906 of the Sarbanes-Oxley Act of 2002, that:</w:t>
      </w:r>
    </w:p>
    <w:p>
      <w:pPr>
        <w:spacing w:after="0" w:line="187"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5680" w:val="left"/>
          <w:tab w:leader="none" w:pos="794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Paul J. Hastings</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5680" w:val="left"/>
          <w:tab w:leader="none" w:pos="804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Alyssa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Alyssa Levin</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and Business Officer</w:t>
      </w:r>
    </w:p>
    <w:p>
      <w:pPr>
        <w:spacing w:after="0" w:line="2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upperLetter"/>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jpe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39" Type="http://schemas.openxmlformats.org/officeDocument/2006/relationships/hyperlink" Target="https://www.sec.gov/Archives/edgar/data/1787400/000119312520192614/d62111dex31.htm" TargetMode="External"/><Relationship Id="rId240" Type="http://schemas.openxmlformats.org/officeDocument/2006/relationships/hyperlink" Target="https://www.sec.gov/Archives/edgar/data/1787400/000095017023027263/nktx-ex3_1.htm" TargetMode="External"/><Relationship Id="rId241" Type="http://schemas.openxmlformats.org/officeDocument/2006/relationships/hyperlink" Target="https://www.sec.gov/Archives/edgar/data/1787400/000119312520192614/d62111dex32.htm" TargetMode="External"/><Relationship Id="rId242" Type="http://schemas.openxmlformats.org/officeDocument/2006/relationships/hyperlink" Target="https://www.sec.gov/Archives/edgar/data/1787400/000095017023021277/nktx-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2023-08-10T06:21:27Z</dcterms:created>
  <dcterms:modified xsi:type="dcterms:W3CDTF">2023-08-10T06:21:27Z</dcterms:modified>
</cp:coreProperties>
</file>